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47A85" w14:textId="77777777" w:rsidR="00104E1F" w:rsidRPr="00585F66" w:rsidRDefault="00104E1F" w:rsidP="00CA073A">
      <w:pPr>
        <w:pStyle w:val="Heading1"/>
        <w:jc w:val="both"/>
        <w:rPr>
          <w:rFonts w:ascii="Arial" w:hAnsi="Arial" w:cs="Arial"/>
          <w:noProof/>
          <w:color w:val="000000" w:themeColor="text1"/>
          <w:sz w:val="20"/>
          <w:szCs w:val="20"/>
        </w:rPr>
      </w:pPr>
      <w:bookmarkStart w:id="0" w:name="OLE_LINK1"/>
    </w:p>
    <w:p w14:paraId="568D2372" w14:textId="77777777" w:rsidR="00104E1F" w:rsidRPr="00585F66" w:rsidRDefault="00104E1F" w:rsidP="00CA073A">
      <w:pPr>
        <w:pStyle w:val="Heading1"/>
        <w:jc w:val="both"/>
        <w:rPr>
          <w:rFonts w:ascii="Arial" w:hAnsi="Arial" w:cs="Arial"/>
          <w:noProof/>
          <w:color w:val="000000" w:themeColor="text1"/>
          <w:sz w:val="20"/>
          <w:szCs w:val="20"/>
        </w:rPr>
      </w:pPr>
    </w:p>
    <w:p w14:paraId="7B52434F" w14:textId="3EA04EFA" w:rsidR="005358E6" w:rsidRDefault="005358E6" w:rsidP="005358E6">
      <w:pPr>
        <w:pStyle w:val="Heading1"/>
        <w:ind w:left="-426"/>
        <w:jc w:val="center"/>
        <w:rPr>
          <w:rFonts w:ascii="Arial" w:hAnsi="Arial" w:cs="Arial"/>
          <w:noProof/>
          <w:color w:val="000000" w:themeColor="text1"/>
          <w:sz w:val="20"/>
          <w:szCs w:val="20"/>
        </w:rPr>
      </w:pPr>
    </w:p>
    <w:p w14:paraId="7F95B23D" w14:textId="1DED22AA" w:rsidR="00104E1F" w:rsidRPr="00AB18C6" w:rsidRDefault="001919A5" w:rsidP="00253EFE">
      <w:pPr>
        <w:pStyle w:val="Heading1"/>
        <w:ind w:left="-426"/>
        <w:jc w:val="both"/>
        <w:rPr>
          <w:rFonts w:ascii="Book Antiqua" w:hAnsi="Book Antiqua" w:cs="Arial"/>
          <w:noProof/>
          <w:color w:val="000000" w:themeColor="text1"/>
        </w:rPr>
      </w:pPr>
      <w:r w:rsidRPr="00AB18C6">
        <w:rPr>
          <w:rFonts w:ascii="Book Antiqua" w:hAnsi="Book Antiqua" w:cs="Arial"/>
          <w:noProof/>
          <w:color w:val="000000" w:themeColor="text1"/>
        </w:rPr>
        <w:t>ANNUAL RETURNS:</w:t>
      </w:r>
    </w:p>
    <w:p w14:paraId="2CE3C898" w14:textId="77777777" w:rsidR="001919A5" w:rsidRPr="00AB18C6" w:rsidRDefault="001919A5" w:rsidP="00253EFE">
      <w:pPr>
        <w:pStyle w:val="Heading1"/>
        <w:ind w:left="-426"/>
        <w:jc w:val="both"/>
        <w:rPr>
          <w:rFonts w:ascii="Book Antiqua" w:hAnsi="Book Antiqua" w:cs="Arial"/>
          <w:noProof/>
          <w:color w:val="000000" w:themeColor="text1"/>
        </w:rPr>
      </w:pPr>
    </w:p>
    <w:p w14:paraId="46123423" w14:textId="4366EF84" w:rsidR="00AB18C6" w:rsidRPr="00AB18C6" w:rsidRDefault="001919A5" w:rsidP="00AB18C6">
      <w:pPr>
        <w:pStyle w:val="Heading1"/>
        <w:ind w:left="-426"/>
        <w:jc w:val="both"/>
        <w:rPr>
          <w:rFonts w:ascii="Book Antiqua" w:hAnsi="Book Antiqua" w:cs="Arial"/>
          <w:noProof/>
          <w:color w:val="000000" w:themeColor="text1"/>
        </w:rPr>
      </w:pPr>
      <w:r w:rsidRPr="00AB18C6">
        <w:rPr>
          <w:rFonts w:ascii="Book Antiqua" w:hAnsi="Book Antiqua" w:cs="Arial"/>
          <w:noProof/>
          <w:color w:val="000000" w:themeColor="text1"/>
        </w:rPr>
        <w:t>PART A : Annual Returns :</w:t>
      </w:r>
    </w:p>
    <w:p w14:paraId="5EFF7BC2" w14:textId="77777777" w:rsidR="00AB18C6" w:rsidRPr="00AB18C6" w:rsidRDefault="00AB18C6" w:rsidP="00AB18C6">
      <w:pPr>
        <w:pStyle w:val="Heading1"/>
        <w:ind w:left="-426"/>
        <w:jc w:val="both"/>
        <w:rPr>
          <w:rFonts w:ascii="Book Antiqua" w:hAnsi="Book Antiqua" w:cs="Arial"/>
          <w:noProof/>
          <w:color w:val="000000" w:themeColor="text1"/>
        </w:rPr>
      </w:pPr>
    </w:p>
    <w:tbl>
      <w:tblPr>
        <w:tblStyle w:val="TableGrid"/>
        <w:tblW w:w="8108" w:type="dxa"/>
        <w:tblInd w:w="-252" w:type="dxa"/>
        <w:tblLook w:val="04A0" w:firstRow="1" w:lastRow="0" w:firstColumn="1" w:lastColumn="0" w:noHBand="0" w:noVBand="1"/>
      </w:tblPr>
      <w:tblGrid>
        <w:gridCol w:w="721"/>
        <w:gridCol w:w="5769"/>
        <w:gridCol w:w="1618"/>
      </w:tblGrid>
      <w:tr w:rsidR="00AB18C6" w:rsidRPr="00AB18C6" w14:paraId="6F86795A" w14:textId="77777777" w:rsidTr="003B25A1">
        <w:trPr>
          <w:trHeight w:val="375"/>
        </w:trPr>
        <w:tc>
          <w:tcPr>
            <w:tcW w:w="721" w:type="dxa"/>
            <w:vAlign w:val="center"/>
          </w:tcPr>
          <w:p w14:paraId="2E36FEF4" w14:textId="77777777" w:rsidR="00AB18C6" w:rsidRPr="00AB18C6" w:rsidRDefault="00AB18C6" w:rsidP="003B25A1">
            <w:pPr>
              <w:rPr>
                <w:rFonts w:ascii="Book Antiqua" w:hAnsi="Book Antiqua" w:cs="Arial"/>
                <w:b/>
                <w:color w:val="333333"/>
                <w:shd w:val="clear" w:color="auto" w:fill="FFFFFF"/>
              </w:rPr>
            </w:pPr>
            <w:r w:rsidRPr="00AB18C6">
              <w:rPr>
                <w:rFonts w:ascii="Book Antiqua" w:hAnsi="Book Antiqua" w:cs="Arial"/>
                <w:b/>
                <w:color w:val="333333"/>
                <w:shd w:val="clear" w:color="auto" w:fill="FFFFFF"/>
              </w:rPr>
              <w:t>Sr.</w:t>
            </w:r>
          </w:p>
        </w:tc>
        <w:tc>
          <w:tcPr>
            <w:tcW w:w="5769" w:type="dxa"/>
            <w:vAlign w:val="center"/>
          </w:tcPr>
          <w:p w14:paraId="0EDF9057" w14:textId="77777777" w:rsidR="00AB18C6" w:rsidRPr="00AB18C6" w:rsidRDefault="00AB18C6" w:rsidP="003B25A1">
            <w:pPr>
              <w:rPr>
                <w:rFonts w:ascii="Book Antiqua" w:hAnsi="Book Antiqua" w:cs="Arial"/>
                <w:b/>
              </w:rPr>
            </w:pPr>
            <w:r w:rsidRPr="00AB18C6">
              <w:rPr>
                <w:rFonts w:ascii="Book Antiqua" w:hAnsi="Book Antiqua" w:cs="Arial"/>
                <w:b/>
                <w:color w:val="333333"/>
                <w:shd w:val="clear" w:color="auto" w:fill="FFFFFF"/>
              </w:rPr>
              <w:t xml:space="preserve">Documents / Details </w:t>
            </w:r>
          </w:p>
        </w:tc>
        <w:tc>
          <w:tcPr>
            <w:tcW w:w="1618" w:type="dxa"/>
            <w:vAlign w:val="center"/>
          </w:tcPr>
          <w:p w14:paraId="31B107D6" w14:textId="77777777" w:rsidR="00AB18C6" w:rsidRPr="00AB18C6" w:rsidRDefault="00AB18C6" w:rsidP="003B25A1">
            <w:pPr>
              <w:rPr>
                <w:rFonts w:ascii="Book Antiqua" w:hAnsi="Book Antiqua" w:cs="Arial"/>
                <w:b/>
                <w:color w:val="333333"/>
                <w:shd w:val="clear" w:color="auto" w:fill="FFFFFF"/>
              </w:rPr>
            </w:pPr>
            <w:r w:rsidRPr="00AB18C6">
              <w:rPr>
                <w:rFonts w:ascii="Book Antiqua" w:hAnsi="Book Antiqua" w:cs="Arial"/>
                <w:b/>
                <w:color w:val="333333"/>
                <w:shd w:val="clear" w:color="auto" w:fill="FFFFFF"/>
              </w:rPr>
              <w:t>Annexures</w:t>
            </w:r>
          </w:p>
        </w:tc>
      </w:tr>
      <w:tr w:rsidR="00AB18C6" w:rsidRPr="00AB18C6" w14:paraId="3F769C09" w14:textId="77777777" w:rsidTr="003B25A1">
        <w:trPr>
          <w:trHeight w:val="375"/>
        </w:trPr>
        <w:tc>
          <w:tcPr>
            <w:tcW w:w="721" w:type="dxa"/>
            <w:vAlign w:val="center"/>
          </w:tcPr>
          <w:p w14:paraId="14EA5F05" w14:textId="77777777" w:rsidR="00AB18C6" w:rsidRPr="00AB18C6" w:rsidRDefault="00AB18C6" w:rsidP="003B25A1">
            <w:pPr>
              <w:rPr>
                <w:rFonts w:ascii="Book Antiqua" w:hAnsi="Book Antiqua" w:cs="Arial"/>
                <w:color w:val="333333"/>
                <w:shd w:val="clear" w:color="auto" w:fill="FFFFFF"/>
              </w:rPr>
            </w:pPr>
            <w:r w:rsidRPr="00AB18C6">
              <w:rPr>
                <w:rFonts w:ascii="Book Antiqua" w:hAnsi="Book Antiqua" w:cs="Arial"/>
                <w:b/>
                <w:color w:val="333333"/>
                <w:shd w:val="clear" w:color="auto" w:fill="FFFFFF"/>
              </w:rPr>
              <w:t>A.</w:t>
            </w:r>
          </w:p>
        </w:tc>
        <w:tc>
          <w:tcPr>
            <w:tcW w:w="5769" w:type="dxa"/>
            <w:vAlign w:val="center"/>
          </w:tcPr>
          <w:p w14:paraId="7E4BF6E3" w14:textId="77777777" w:rsidR="00AB18C6" w:rsidRPr="00AB18C6" w:rsidRDefault="00AB18C6" w:rsidP="003B25A1">
            <w:pPr>
              <w:rPr>
                <w:rFonts w:ascii="Book Antiqua" w:hAnsi="Book Antiqua" w:cs="Arial"/>
                <w:color w:val="333333"/>
                <w:shd w:val="clear" w:color="auto" w:fill="FFFFFF"/>
              </w:rPr>
            </w:pPr>
            <w:r w:rsidRPr="00AB18C6">
              <w:rPr>
                <w:rFonts w:ascii="Book Antiqua" w:hAnsi="Book Antiqua"/>
                <w:b/>
                <w:color w:val="333333"/>
                <w:shd w:val="clear" w:color="auto" w:fill="FFFFFF"/>
              </w:rPr>
              <w:t>Annual Returns</w:t>
            </w:r>
          </w:p>
        </w:tc>
        <w:tc>
          <w:tcPr>
            <w:tcW w:w="1618" w:type="dxa"/>
          </w:tcPr>
          <w:p w14:paraId="434B6BE2" w14:textId="77777777" w:rsidR="00AB18C6" w:rsidRPr="00AB18C6" w:rsidRDefault="00AB18C6" w:rsidP="00AD19B6">
            <w:pPr>
              <w:rPr>
                <w:rFonts w:ascii="Book Antiqua" w:hAnsi="Book Antiqua" w:cs="Arial"/>
                <w:b/>
                <w:color w:val="333333"/>
                <w:shd w:val="clear" w:color="auto" w:fill="FFFFFF"/>
              </w:rPr>
            </w:pPr>
          </w:p>
        </w:tc>
      </w:tr>
      <w:tr w:rsidR="00AB18C6" w:rsidRPr="00AB18C6" w14:paraId="38F673C2" w14:textId="77777777" w:rsidTr="003B25A1">
        <w:trPr>
          <w:trHeight w:val="1161"/>
        </w:trPr>
        <w:tc>
          <w:tcPr>
            <w:tcW w:w="721" w:type="dxa"/>
            <w:vAlign w:val="center"/>
          </w:tcPr>
          <w:p w14:paraId="444CE46E" w14:textId="77777777" w:rsidR="00AB18C6" w:rsidRPr="00AB18C6" w:rsidRDefault="00AB18C6" w:rsidP="003B25A1">
            <w:pPr>
              <w:rPr>
                <w:rFonts w:ascii="Book Antiqua" w:hAnsi="Book Antiqua" w:cs="Arial"/>
                <w:color w:val="333333"/>
                <w:shd w:val="clear" w:color="auto" w:fill="FFFFFF"/>
              </w:rPr>
            </w:pPr>
            <w:r w:rsidRPr="00AB18C6">
              <w:rPr>
                <w:rFonts w:ascii="Book Antiqua" w:hAnsi="Book Antiqua" w:cs="Arial"/>
                <w:color w:val="333333"/>
                <w:shd w:val="clear" w:color="auto" w:fill="FFFFFF"/>
              </w:rPr>
              <w:t>(</w:t>
            </w:r>
            <w:proofErr w:type="spellStart"/>
            <w:r w:rsidRPr="00AB18C6">
              <w:rPr>
                <w:rFonts w:ascii="Book Antiqua" w:hAnsi="Book Antiqua" w:cs="Arial"/>
                <w:color w:val="333333"/>
                <w:shd w:val="clear" w:color="auto" w:fill="FFFFFF"/>
              </w:rPr>
              <w:t>i</w:t>
            </w:r>
            <w:proofErr w:type="spellEnd"/>
            <w:r w:rsidRPr="00AB18C6">
              <w:rPr>
                <w:rFonts w:ascii="Book Antiqua" w:hAnsi="Book Antiqua" w:cs="Arial"/>
                <w:color w:val="333333"/>
                <w:shd w:val="clear" w:color="auto" w:fill="FFFFFF"/>
              </w:rPr>
              <w:t>)</w:t>
            </w:r>
          </w:p>
        </w:tc>
        <w:tc>
          <w:tcPr>
            <w:tcW w:w="5769" w:type="dxa"/>
            <w:vAlign w:val="center"/>
          </w:tcPr>
          <w:p w14:paraId="54E41DA9" w14:textId="595B9BF9" w:rsidR="00AB18C6" w:rsidRPr="00AB18C6" w:rsidRDefault="006579DA" w:rsidP="003B25A1">
            <w:pPr>
              <w:jc w:val="both"/>
              <w:rPr>
                <w:rFonts w:ascii="Book Antiqua" w:hAnsi="Book Antiqua"/>
                <w:color w:val="333333"/>
                <w:shd w:val="clear" w:color="auto" w:fill="FFFFFF"/>
              </w:rPr>
            </w:pPr>
            <w:r w:rsidRPr="006579DA">
              <w:rPr>
                <w:rFonts w:ascii="Book Antiqua" w:hAnsi="Book Antiqua"/>
                <w:color w:val="333333"/>
                <w:shd w:val="clear" w:color="auto" w:fill="FFFFFF"/>
              </w:rPr>
              <w:t>Format of Audited Net-worth Certificate and Computation as per Schedule VI of SEBI (Stock Brokers) Regulations 1992</w:t>
            </w:r>
          </w:p>
        </w:tc>
        <w:tc>
          <w:tcPr>
            <w:tcW w:w="1618" w:type="dxa"/>
            <w:vAlign w:val="center"/>
          </w:tcPr>
          <w:p w14:paraId="5839B58B" w14:textId="25DDAD2A" w:rsidR="00AB18C6" w:rsidRPr="00AB18C6" w:rsidRDefault="00AB18C6" w:rsidP="003B25A1">
            <w:pPr>
              <w:jc w:val="center"/>
              <w:rPr>
                <w:rFonts w:ascii="Book Antiqua" w:hAnsi="Book Antiqua" w:cs="Arial"/>
                <w:b/>
                <w:color w:val="333333"/>
                <w:shd w:val="clear" w:color="auto" w:fill="FFFFFF"/>
              </w:rPr>
            </w:pPr>
            <w:r w:rsidRPr="00AB18C6">
              <w:rPr>
                <w:rFonts w:ascii="Book Antiqua" w:hAnsi="Book Antiqua" w:cs="Arial"/>
                <w:b/>
                <w:color w:val="333333"/>
                <w:shd w:val="clear" w:color="auto" w:fill="FFFFFF"/>
              </w:rPr>
              <w:t>Annexure 1</w:t>
            </w:r>
          </w:p>
        </w:tc>
      </w:tr>
      <w:tr w:rsidR="00AB18C6" w:rsidRPr="00AB18C6" w14:paraId="752270AD" w14:textId="77777777" w:rsidTr="003B25A1">
        <w:trPr>
          <w:trHeight w:val="267"/>
        </w:trPr>
        <w:tc>
          <w:tcPr>
            <w:tcW w:w="721" w:type="dxa"/>
            <w:vAlign w:val="center"/>
          </w:tcPr>
          <w:p w14:paraId="61C3A048" w14:textId="77777777" w:rsidR="00AB18C6" w:rsidRPr="00AB18C6" w:rsidRDefault="00AB18C6" w:rsidP="003B25A1">
            <w:pPr>
              <w:rPr>
                <w:rFonts w:ascii="Book Antiqua" w:hAnsi="Book Antiqua" w:cs="Arial"/>
                <w:color w:val="333333"/>
                <w:shd w:val="clear" w:color="auto" w:fill="FFFFFF"/>
              </w:rPr>
            </w:pPr>
            <w:r w:rsidRPr="00AB18C6">
              <w:rPr>
                <w:rFonts w:ascii="Book Antiqua" w:hAnsi="Book Antiqua" w:cs="Arial"/>
                <w:color w:val="333333"/>
                <w:shd w:val="clear" w:color="auto" w:fill="FFFFFF"/>
              </w:rPr>
              <w:t>(ii)</w:t>
            </w:r>
          </w:p>
        </w:tc>
        <w:tc>
          <w:tcPr>
            <w:tcW w:w="5769" w:type="dxa"/>
            <w:vAlign w:val="center"/>
          </w:tcPr>
          <w:p w14:paraId="28E8DCF3" w14:textId="77777777" w:rsidR="00AB18C6" w:rsidRPr="00AB18C6" w:rsidRDefault="00AB18C6" w:rsidP="003B25A1">
            <w:pPr>
              <w:jc w:val="both"/>
              <w:rPr>
                <w:rFonts w:ascii="Book Antiqua" w:hAnsi="Book Antiqua"/>
              </w:rPr>
            </w:pPr>
            <w:r w:rsidRPr="00AB18C6">
              <w:rPr>
                <w:rFonts w:ascii="Book Antiqua" w:hAnsi="Book Antiqua"/>
                <w:color w:val="333333"/>
                <w:shd w:val="clear" w:color="auto" w:fill="FFFFFF"/>
              </w:rPr>
              <w:t xml:space="preserve">Clarification for Computation of  Audited Net-worth </w:t>
            </w:r>
          </w:p>
        </w:tc>
        <w:tc>
          <w:tcPr>
            <w:tcW w:w="1618" w:type="dxa"/>
            <w:vAlign w:val="center"/>
          </w:tcPr>
          <w:p w14:paraId="0871143F" w14:textId="77777777" w:rsidR="00AB18C6" w:rsidRPr="00AB18C6" w:rsidRDefault="00AB18C6" w:rsidP="003B25A1">
            <w:pPr>
              <w:jc w:val="center"/>
              <w:rPr>
                <w:rFonts w:ascii="Book Antiqua" w:hAnsi="Book Antiqua" w:cs="Arial"/>
                <w:color w:val="333333"/>
                <w:shd w:val="clear" w:color="auto" w:fill="FFFFFF"/>
              </w:rPr>
            </w:pPr>
            <w:r w:rsidRPr="00AB18C6">
              <w:rPr>
                <w:rFonts w:ascii="Book Antiqua" w:hAnsi="Book Antiqua" w:cs="Arial"/>
                <w:b/>
                <w:color w:val="333333"/>
                <w:shd w:val="clear" w:color="auto" w:fill="FFFFFF"/>
              </w:rPr>
              <w:t>Annexure 1a</w:t>
            </w:r>
          </w:p>
        </w:tc>
      </w:tr>
      <w:tr w:rsidR="00AB18C6" w:rsidRPr="00AB18C6" w14:paraId="06B431EC" w14:textId="77777777" w:rsidTr="003B25A1">
        <w:trPr>
          <w:trHeight w:val="318"/>
        </w:trPr>
        <w:tc>
          <w:tcPr>
            <w:tcW w:w="721" w:type="dxa"/>
            <w:vAlign w:val="center"/>
          </w:tcPr>
          <w:p w14:paraId="45499B1A" w14:textId="77777777" w:rsidR="00AB18C6" w:rsidRPr="00AB18C6" w:rsidRDefault="00AB18C6" w:rsidP="003B25A1">
            <w:pPr>
              <w:rPr>
                <w:rFonts w:ascii="Book Antiqua" w:hAnsi="Book Antiqua" w:cs="Arial"/>
                <w:color w:val="333333"/>
                <w:shd w:val="clear" w:color="auto" w:fill="FFFFFF"/>
              </w:rPr>
            </w:pPr>
            <w:r w:rsidRPr="00AB18C6">
              <w:rPr>
                <w:rFonts w:ascii="Book Antiqua" w:hAnsi="Book Antiqua" w:cs="Arial"/>
                <w:color w:val="333333"/>
                <w:shd w:val="clear" w:color="auto" w:fill="FFFFFF"/>
              </w:rPr>
              <w:t>(iii)</w:t>
            </w:r>
          </w:p>
        </w:tc>
        <w:tc>
          <w:tcPr>
            <w:tcW w:w="5769" w:type="dxa"/>
            <w:vAlign w:val="center"/>
          </w:tcPr>
          <w:p w14:paraId="33D010D5" w14:textId="77777777" w:rsidR="00AB18C6" w:rsidRPr="00AB18C6" w:rsidRDefault="00AB18C6" w:rsidP="003B25A1">
            <w:pPr>
              <w:jc w:val="both"/>
              <w:rPr>
                <w:rFonts w:ascii="Book Antiqua" w:hAnsi="Book Antiqua"/>
              </w:rPr>
            </w:pPr>
            <w:r w:rsidRPr="00AB18C6">
              <w:rPr>
                <w:rFonts w:ascii="Book Antiqua" w:hAnsi="Book Antiqua"/>
                <w:color w:val="333333"/>
                <w:shd w:val="clear" w:color="auto" w:fill="FFFFFF"/>
              </w:rPr>
              <w:t>Audited Balance Sheet along with the schedules</w:t>
            </w:r>
          </w:p>
        </w:tc>
        <w:tc>
          <w:tcPr>
            <w:tcW w:w="1618" w:type="dxa"/>
            <w:vMerge w:val="restart"/>
            <w:vAlign w:val="center"/>
          </w:tcPr>
          <w:p w14:paraId="502293CB" w14:textId="77777777" w:rsidR="00AB18C6" w:rsidRPr="00AB18C6" w:rsidRDefault="00AB18C6" w:rsidP="003B25A1">
            <w:pPr>
              <w:jc w:val="center"/>
              <w:rPr>
                <w:rFonts w:ascii="Book Antiqua" w:hAnsi="Book Antiqua" w:cs="Arial"/>
                <w:color w:val="333333"/>
                <w:shd w:val="clear" w:color="auto" w:fill="FFFFFF"/>
              </w:rPr>
            </w:pPr>
          </w:p>
          <w:p w14:paraId="598CB979" w14:textId="1894F73D" w:rsidR="00AB18C6" w:rsidRPr="00AB18C6" w:rsidRDefault="00AB18C6" w:rsidP="003B25A1">
            <w:pPr>
              <w:jc w:val="center"/>
              <w:rPr>
                <w:rFonts w:ascii="Book Antiqua" w:hAnsi="Book Antiqua" w:cs="Arial"/>
                <w:color w:val="333333"/>
                <w:shd w:val="clear" w:color="auto" w:fill="FFFFFF"/>
              </w:rPr>
            </w:pPr>
            <w:r w:rsidRPr="00AB18C6">
              <w:rPr>
                <w:rFonts w:ascii="Book Antiqua" w:hAnsi="Book Antiqua" w:cs="Arial"/>
                <w:color w:val="333333"/>
                <w:shd w:val="clear" w:color="auto" w:fill="FFFFFF"/>
              </w:rPr>
              <w:t>-</w:t>
            </w:r>
          </w:p>
        </w:tc>
      </w:tr>
      <w:tr w:rsidR="00AB18C6" w:rsidRPr="00AB18C6" w14:paraId="1BFED7DB" w14:textId="77777777" w:rsidTr="003B25A1">
        <w:trPr>
          <w:trHeight w:val="392"/>
        </w:trPr>
        <w:tc>
          <w:tcPr>
            <w:tcW w:w="721" w:type="dxa"/>
            <w:vAlign w:val="center"/>
          </w:tcPr>
          <w:p w14:paraId="49EBF1D7" w14:textId="77777777" w:rsidR="00AB18C6" w:rsidRPr="00AB18C6" w:rsidRDefault="00AB18C6" w:rsidP="003B25A1">
            <w:pPr>
              <w:rPr>
                <w:rFonts w:ascii="Book Antiqua" w:hAnsi="Book Antiqua" w:cs="Arial"/>
                <w:color w:val="333333"/>
                <w:shd w:val="clear" w:color="auto" w:fill="FFFFFF"/>
              </w:rPr>
            </w:pPr>
            <w:r w:rsidRPr="00AB18C6">
              <w:rPr>
                <w:rFonts w:ascii="Book Antiqua" w:hAnsi="Book Antiqua" w:cs="Arial"/>
                <w:color w:val="333333"/>
                <w:shd w:val="clear" w:color="auto" w:fill="FFFFFF"/>
              </w:rPr>
              <w:t>(iv)</w:t>
            </w:r>
          </w:p>
        </w:tc>
        <w:tc>
          <w:tcPr>
            <w:tcW w:w="5769" w:type="dxa"/>
            <w:vAlign w:val="center"/>
          </w:tcPr>
          <w:p w14:paraId="7BA9AD67" w14:textId="77777777" w:rsidR="00AB18C6" w:rsidRPr="00AB18C6" w:rsidRDefault="00AB18C6" w:rsidP="003B25A1">
            <w:pPr>
              <w:jc w:val="both"/>
              <w:rPr>
                <w:rFonts w:ascii="Book Antiqua" w:hAnsi="Book Antiqua"/>
              </w:rPr>
            </w:pPr>
            <w:r w:rsidRPr="00AB18C6">
              <w:rPr>
                <w:rFonts w:ascii="Book Antiqua" w:hAnsi="Book Antiqua"/>
                <w:color w:val="333333"/>
                <w:shd w:val="clear" w:color="auto" w:fill="FFFFFF"/>
              </w:rPr>
              <w:t xml:space="preserve">Audited Profit &amp; loss account along with schedules </w:t>
            </w:r>
          </w:p>
        </w:tc>
        <w:tc>
          <w:tcPr>
            <w:tcW w:w="1618" w:type="dxa"/>
            <w:vMerge/>
            <w:vAlign w:val="center"/>
          </w:tcPr>
          <w:p w14:paraId="376E42A0" w14:textId="77777777" w:rsidR="00AB18C6" w:rsidRPr="00AB18C6" w:rsidRDefault="00AB18C6" w:rsidP="003B25A1">
            <w:pPr>
              <w:jc w:val="center"/>
              <w:rPr>
                <w:rFonts w:ascii="Book Antiqua" w:hAnsi="Book Antiqua" w:cs="Arial"/>
                <w:color w:val="333333"/>
                <w:shd w:val="clear" w:color="auto" w:fill="FFFFFF"/>
              </w:rPr>
            </w:pPr>
          </w:p>
        </w:tc>
      </w:tr>
      <w:tr w:rsidR="00AB18C6" w:rsidRPr="00AB18C6" w14:paraId="4D87E30F" w14:textId="77777777" w:rsidTr="003B25A1">
        <w:trPr>
          <w:trHeight w:val="392"/>
        </w:trPr>
        <w:tc>
          <w:tcPr>
            <w:tcW w:w="721" w:type="dxa"/>
            <w:vAlign w:val="center"/>
          </w:tcPr>
          <w:p w14:paraId="1AABBD55" w14:textId="77777777" w:rsidR="00AB18C6" w:rsidRPr="00AB18C6" w:rsidRDefault="00AB18C6" w:rsidP="003B25A1">
            <w:pPr>
              <w:rPr>
                <w:rFonts w:ascii="Book Antiqua" w:hAnsi="Book Antiqua" w:cs="Arial"/>
                <w:color w:val="333333"/>
                <w:shd w:val="clear" w:color="auto" w:fill="FFFFFF"/>
              </w:rPr>
            </w:pPr>
            <w:r w:rsidRPr="00AB18C6">
              <w:rPr>
                <w:rFonts w:ascii="Book Antiqua" w:hAnsi="Book Antiqua" w:cs="Arial"/>
                <w:color w:val="333333"/>
                <w:shd w:val="clear" w:color="auto" w:fill="FFFFFF"/>
              </w:rPr>
              <w:t>(v)</w:t>
            </w:r>
          </w:p>
        </w:tc>
        <w:tc>
          <w:tcPr>
            <w:tcW w:w="5769" w:type="dxa"/>
            <w:vAlign w:val="center"/>
          </w:tcPr>
          <w:p w14:paraId="498B3860" w14:textId="77777777" w:rsidR="00AB18C6" w:rsidRPr="00AB18C6" w:rsidRDefault="00AB18C6" w:rsidP="003B25A1">
            <w:pPr>
              <w:jc w:val="both"/>
              <w:rPr>
                <w:rFonts w:ascii="Book Antiqua" w:hAnsi="Book Antiqua"/>
              </w:rPr>
            </w:pPr>
            <w:r w:rsidRPr="00AB18C6">
              <w:rPr>
                <w:rFonts w:ascii="Book Antiqua" w:hAnsi="Book Antiqua"/>
                <w:color w:val="333333"/>
                <w:shd w:val="clear" w:color="auto" w:fill="FFFFFF"/>
              </w:rPr>
              <w:t>Auditors and Directors report</w:t>
            </w:r>
          </w:p>
        </w:tc>
        <w:tc>
          <w:tcPr>
            <w:tcW w:w="1618" w:type="dxa"/>
            <w:vMerge/>
            <w:vAlign w:val="center"/>
          </w:tcPr>
          <w:p w14:paraId="7CFE9430" w14:textId="77777777" w:rsidR="00AB18C6" w:rsidRPr="00AB18C6" w:rsidRDefault="00AB18C6" w:rsidP="003B25A1">
            <w:pPr>
              <w:jc w:val="center"/>
              <w:rPr>
                <w:rFonts w:ascii="Book Antiqua" w:hAnsi="Book Antiqua" w:cs="Arial"/>
                <w:color w:val="333333"/>
                <w:shd w:val="clear" w:color="auto" w:fill="FFFFFF"/>
              </w:rPr>
            </w:pPr>
          </w:p>
        </w:tc>
      </w:tr>
      <w:tr w:rsidR="00AB18C6" w:rsidRPr="00AB18C6" w14:paraId="1E2A4206" w14:textId="77777777" w:rsidTr="003B25A1">
        <w:trPr>
          <w:trHeight w:val="392"/>
        </w:trPr>
        <w:tc>
          <w:tcPr>
            <w:tcW w:w="721" w:type="dxa"/>
            <w:vAlign w:val="center"/>
          </w:tcPr>
          <w:p w14:paraId="711E8665" w14:textId="77777777" w:rsidR="00AB18C6" w:rsidRPr="00AB18C6" w:rsidRDefault="00AB18C6" w:rsidP="003B25A1">
            <w:pPr>
              <w:rPr>
                <w:rFonts w:ascii="Book Antiqua" w:hAnsi="Book Antiqua" w:cs="Arial"/>
                <w:b/>
                <w:color w:val="333333"/>
                <w:shd w:val="clear" w:color="auto" w:fill="FFFFFF"/>
              </w:rPr>
            </w:pPr>
            <w:r w:rsidRPr="00AB18C6">
              <w:rPr>
                <w:rFonts w:ascii="Book Antiqua" w:hAnsi="Book Antiqua" w:cs="Arial"/>
                <w:b/>
                <w:color w:val="333333"/>
                <w:shd w:val="clear" w:color="auto" w:fill="FFFFFF"/>
              </w:rPr>
              <w:t>B.</w:t>
            </w:r>
          </w:p>
        </w:tc>
        <w:tc>
          <w:tcPr>
            <w:tcW w:w="5769" w:type="dxa"/>
            <w:vAlign w:val="center"/>
          </w:tcPr>
          <w:p w14:paraId="3B16C9A0" w14:textId="77777777" w:rsidR="00AB18C6" w:rsidRPr="00AB18C6" w:rsidRDefault="00AB18C6" w:rsidP="003B25A1">
            <w:pPr>
              <w:jc w:val="both"/>
              <w:rPr>
                <w:rFonts w:ascii="Book Antiqua" w:hAnsi="Book Antiqua" w:cs="Arial"/>
                <w:color w:val="333333"/>
                <w:shd w:val="clear" w:color="auto" w:fill="FFFFFF"/>
              </w:rPr>
            </w:pPr>
            <w:r w:rsidRPr="00AB18C6">
              <w:rPr>
                <w:rFonts w:ascii="Book Antiqua" w:hAnsi="Book Antiqua" w:cs="Arial"/>
                <w:color w:val="333333"/>
                <w:shd w:val="clear" w:color="auto" w:fill="FFFFFF"/>
              </w:rPr>
              <w:t>Financial Strength Details</w:t>
            </w:r>
          </w:p>
        </w:tc>
        <w:tc>
          <w:tcPr>
            <w:tcW w:w="1618" w:type="dxa"/>
            <w:vAlign w:val="center"/>
          </w:tcPr>
          <w:p w14:paraId="7441DF8E" w14:textId="77777777" w:rsidR="00AB18C6" w:rsidRPr="00AB18C6" w:rsidRDefault="00AB18C6" w:rsidP="003B25A1">
            <w:pPr>
              <w:jc w:val="center"/>
              <w:rPr>
                <w:rFonts w:ascii="Book Antiqua" w:hAnsi="Book Antiqua" w:cs="Arial"/>
                <w:b/>
                <w:color w:val="333333"/>
                <w:shd w:val="clear" w:color="auto" w:fill="FFFFFF"/>
              </w:rPr>
            </w:pPr>
            <w:r w:rsidRPr="00AB18C6">
              <w:rPr>
                <w:rFonts w:ascii="Book Antiqua" w:hAnsi="Book Antiqua" w:cs="Arial"/>
                <w:b/>
                <w:color w:val="333333"/>
                <w:shd w:val="clear" w:color="auto" w:fill="FFFFFF"/>
              </w:rPr>
              <w:t>Annexure 2</w:t>
            </w:r>
          </w:p>
        </w:tc>
      </w:tr>
    </w:tbl>
    <w:p w14:paraId="0A3BB565" w14:textId="77777777" w:rsidR="00AB18C6" w:rsidRPr="00585F66" w:rsidRDefault="00AB18C6" w:rsidP="00AB18C6">
      <w:pPr>
        <w:pStyle w:val="Heading1"/>
        <w:ind w:left="-426"/>
        <w:jc w:val="both"/>
        <w:rPr>
          <w:rFonts w:ascii="Arial" w:hAnsi="Arial" w:cs="Arial"/>
          <w:noProof/>
          <w:color w:val="000000" w:themeColor="text1"/>
          <w:sz w:val="20"/>
          <w:szCs w:val="20"/>
        </w:rPr>
      </w:pPr>
    </w:p>
    <w:p w14:paraId="04C95830" w14:textId="77777777" w:rsidR="004E75D8" w:rsidRPr="00585F66" w:rsidRDefault="004E75D8" w:rsidP="00CA073A">
      <w:pPr>
        <w:pStyle w:val="Heading1"/>
        <w:jc w:val="both"/>
        <w:rPr>
          <w:rFonts w:ascii="Arial" w:hAnsi="Arial" w:cs="Arial"/>
          <w:noProof/>
          <w:color w:val="000000" w:themeColor="text1"/>
          <w:sz w:val="20"/>
          <w:szCs w:val="20"/>
        </w:rPr>
      </w:pPr>
    </w:p>
    <w:p w14:paraId="3B48EAB3" w14:textId="77777777" w:rsidR="004E75D8" w:rsidRPr="00585F66" w:rsidRDefault="004E75D8" w:rsidP="00CA073A">
      <w:pPr>
        <w:pStyle w:val="Heading1"/>
        <w:jc w:val="both"/>
        <w:rPr>
          <w:rFonts w:ascii="Arial" w:hAnsi="Arial" w:cs="Arial"/>
          <w:noProof/>
          <w:color w:val="000000" w:themeColor="text1"/>
          <w:sz w:val="20"/>
          <w:szCs w:val="20"/>
        </w:rPr>
      </w:pPr>
    </w:p>
    <w:p w14:paraId="7760B6E1" w14:textId="77777777" w:rsidR="004E75D8" w:rsidRPr="00585F66" w:rsidRDefault="004E75D8" w:rsidP="00CA073A">
      <w:pPr>
        <w:pStyle w:val="Heading1"/>
        <w:jc w:val="both"/>
        <w:rPr>
          <w:rFonts w:ascii="Arial" w:hAnsi="Arial" w:cs="Arial"/>
          <w:noProof/>
          <w:color w:val="000000" w:themeColor="text1"/>
          <w:sz w:val="20"/>
          <w:szCs w:val="20"/>
        </w:rPr>
      </w:pPr>
    </w:p>
    <w:p w14:paraId="5454DE7B" w14:textId="77777777" w:rsidR="004E75D8" w:rsidRPr="00585F66" w:rsidRDefault="004E75D8" w:rsidP="00CA073A">
      <w:pPr>
        <w:pStyle w:val="Heading1"/>
        <w:jc w:val="both"/>
        <w:rPr>
          <w:rFonts w:ascii="Arial" w:hAnsi="Arial" w:cs="Arial"/>
          <w:noProof/>
          <w:color w:val="000000" w:themeColor="text1"/>
          <w:sz w:val="20"/>
          <w:szCs w:val="20"/>
        </w:rPr>
      </w:pPr>
    </w:p>
    <w:p w14:paraId="56E8018E" w14:textId="77777777" w:rsidR="004E75D8" w:rsidRPr="00585F66" w:rsidRDefault="004E75D8" w:rsidP="00CA073A">
      <w:pPr>
        <w:pStyle w:val="Heading1"/>
        <w:jc w:val="both"/>
        <w:rPr>
          <w:rFonts w:ascii="Arial" w:hAnsi="Arial" w:cs="Arial"/>
          <w:noProof/>
          <w:color w:val="000000" w:themeColor="text1"/>
          <w:sz w:val="20"/>
          <w:szCs w:val="20"/>
        </w:rPr>
      </w:pPr>
    </w:p>
    <w:p w14:paraId="1D907B81" w14:textId="77777777" w:rsidR="004E75D8" w:rsidRPr="00585F66" w:rsidRDefault="004E75D8" w:rsidP="00CA073A">
      <w:pPr>
        <w:pStyle w:val="Heading1"/>
        <w:jc w:val="both"/>
        <w:rPr>
          <w:rFonts w:ascii="Arial" w:hAnsi="Arial" w:cs="Arial"/>
          <w:noProof/>
          <w:color w:val="000000" w:themeColor="text1"/>
          <w:sz w:val="20"/>
          <w:szCs w:val="20"/>
        </w:rPr>
      </w:pPr>
    </w:p>
    <w:p w14:paraId="4ADED250" w14:textId="77777777" w:rsidR="004E75D8" w:rsidRPr="00585F66" w:rsidRDefault="004E75D8" w:rsidP="00CA073A">
      <w:pPr>
        <w:pStyle w:val="Heading1"/>
        <w:jc w:val="both"/>
        <w:rPr>
          <w:rFonts w:ascii="Arial" w:hAnsi="Arial" w:cs="Arial"/>
          <w:noProof/>
          <w:color w:val="000000" w:themeColor="text1"/>
          <w:sz w:val="20"/>
          <w:szCs w:val="20"/>
        </w:rPr>
      </w:pPr>
    </w:p>
    <w:p w14:paraId="613727B8" w14:textId="77777777" w:rsidR="004E75D8" w:rsidRPr="00585F66" w:rsidRDefault="004E75D8" w:rsidP="00CA073A">
      <w:pPr>
        <w:pStyle w:val="Heading1"/>
        <w:jc w:val="both"/>
        <w:rPr>
          <w:rFonts w:ascii="Arial" w:hAnsi="Arial" w:cs="Arial"/>
          <w:noProof/>
          <w:color w:val="000000" w:themeColor="text1"/>
          <w:sz w:val="20"/>
          <w:szCs w:val="20"/>
        </w:rPr>
      </w:pPr>
    </w:p>
    <w:p w14:paraId="1BFBA3D3" w14:textId="77777777" w:rsidR="004E75D8" w:rsidRPr="00585F66" w:rsidRDefault="004E75D8" w:rsidP="00CA073A">
      <w:pPr>
        <w:pStyle w:val="Heading1"/>
        <w:jc w:val="both"/>
        <w:rPr>
          <w:rFonts w:ascii="Arial" w:hAnsi="Arial" w:cs="Arial"/>
          <w:noProof/>
          <w:color w:val="000000" w:themeColor="text1"/>
          <w:sz w:val="20"/>
          <w:szCs w:val="20"/>
        </w:rPr>
      </w:pPr>
    </w:p>
    <w:p w14:paraId="1FC8914C" w14:textId="77777777" w:rsidR="004E75D8" w:rsidRPr="00585F66" w:rsidRDefault="004E75D8" w:rsidP="00CA073A">
      <w:pPr>
        <w:pStyle w:val="Heading1"/>
        <w:jc w:val="both"/>
        <w:rPr>
          <w:rFonts w:ascii="Arial" w:hAnsi="Arial" w:cs="Arial"/>
          <w:noProof/>
          <w:color w:val="000000" w:themeColor="text1"/>
          <w:sz w:val="20"/>
          <w:szCs w:val="20"/>
        </w:rPr>
      </w:pPr>
    </w:p>
    <w:p w14:paraId="6C7ADA90" w14:textId="77777777" w:rsidR="004E75D8" w:rsidRPr="00585F66" w:rsidRDefault="004E75D8" w:rsidP="00CA073A">
      <w:pPr>
        <w:pStyle w:val="Heading1"/>
        <w:jc w:val="both"/>
        <w:rPr>
          <w:rFonts w:ascii="Arial" w:hAnsi="Arial" w:cs="Arial"/>
          <w:noProof/>
          <w:color w:val="000000" w:themeColor="text1"/>
          <w:sz w:val="20"/>
          <w:szCs w:val="20"/>
        </w:rPr>
      </w:pPr>
    </w:p>
    <w:p w14:paraId="401FAADE" w14:textId="77777777" w:rsidR="004E75D8" w:rsidRPr="00585F66" w:rsidRDefault="004E75D8" w:rsidP="00CA073A">
      <w:pPr>
        <w:pStyle w:val="Heading1"/>
        <w:jc w:val="both"/>
        <w:rPr>
          <w:rFonts w:ascii="Arial" w:hAnsi="Arial" w:cs="Arial"/>
          <w:noProof/>
          <w:color w:val="000000" w:themeColor="text1"/>
          <w:sz w:val="20"/>
          <w:szCs w:val="20"/>
        </w:rPr>
      </w:pPr>
    </w:p>
    <w:p w14:paraId="19EAD780" w14:textId="77777777" w:rsidR="004E75D8" w:rsidRPr="00585F66" w:rsidRDefault="004E75D8" w:rsidP="00CA073A">
      <w:pPr>
        <w:pStyle w:val="Heading1"/>
        <w:jc w:val="both"/>
        <w:rPr>
          <w:rFonts w:ascii="Arial" w:hAnsi="Arial" w:cs="Arial"/>
          <w:noProof/>
          <w:color w:val="000000" w:themeColor="text1"/>
          <w:sz w:val="20"/>
          <w:szCs w:val="20"/>
        </w:rPr>
      </w:pPr>
    </w:p>
    <w:p w14:paraId="6159FC99" w14:textId="77777777" w:rsidR="004E75D8" w:rsidRPr="00585F66" w:rsidRDefault="004E75D8" w:rsidP="00CA073A">
      <w:pPr>
        <w:pStyle w:val="Heading1"/>
        <w:jc w:val="both"/>
        <w:rPr>
          <w:rFonts w:ascii="Arial" w:hAnsi="Arial" w:cs="Arial"/>
          <w:noProof/>
          <w:color w:val="000000" w:themeColor="text1"/>
          <w:sz w:val="20"/>
          <w:szCs w:val="20"/>
        </w:rPr>
      </w:pPr>
    </w:p>
    <w:p w14:paraId="543C7523" w14:textId="77777777" w:rsidR="004E75D8" w:rsidRPr="00585F66" w:rsidRDefault="004E75D8" w:rsidP="00CA073A">
      <w:pPr>
        <w:pStyle w:val="Heading1"/>
        <w:jc w:val="both"/>
        <w:rPr>
          <w:rFonts w:ascii="Arial" w:hAnsi="Arial" w:cs="Arial"/>
          <w:noProof/>
          <w:color w:val="000000" w:themeColor="text1"/>
          <w:sz w:val="20"/>
          <w:szCs w:val="20"/>
        </w:rPr>
      </w:pPr>
    </w:p>
    <w:p w14:paraId="2E66ADB6" w14:textId="77777777" w:rsidR="004E75D8" w:rsidRPr="00585F66" w:rsidRDefault="004E75D8" w:rsidP="00CA073A">
      <w:pPr>
        <w:pStyle w:val="Heading1"/>
        <w:jc w:val="both"/>
        <w:rPr>
          <w:rFonts w:ascii="Arial" w:hAnsi="Arial" w:cs="Arial"/>
          <w:noProof/>
          <w:color w:val="000000" w:themeColor="text1"/>
          <w:sz w:val="20"/>
          <w:szCs w:val="20"/>
        </w:rPr>
      </w:pPr>
    </w:p>
    <w:p w14:paraId="3422EB78" w14:textId="77777777" w:rsidR="004E75D8" w:rsidRPr="00585F66" w:rsidRDefault="004E75D8" w:rsidP="00CA073A">
      <w:pPr>
        <w:pStyle w:val="Heading1"/>
        <w:jc w:val="both"/>
        <w:rPr>
          <w:rFonts w:ascii="Arial" w:hAnsi="Arial" w:cs="Arial"/>
          <w:noProof/>
          <w:color w:val="000000" w:themeColor="text1"/>
          <w:sz w:val="20"/>
          <w:szCs w:val="20"/>
        </w:rPr>
      </w:pPr>
    </w:p>
    <w:p w14:paraId="3AB037F4" w14:textId="77777777" w:rsidR="00CA073A" w:rsidRPr="00585F66" w:rsidRDefault="00CA073A" w:rsidP="00CA073A">
      <w:pPr>
        <w:pStyle w:val="Heading1"/>
        <w:jc w:val="both"/>
        <w:rPr>
          <w:rFonts w:ascii="Arial" w:hAnsi="Arial" w:cs="Arial"/>
          <w:b w:val="0"/>
          <w:bCs w:val="0"/>
          <w:color w:val="000000" w:themeColor="text1"/>
          <w:sz w:val="23"/>
          <w:szCs w:val="23"/>
        </w:rPr>
      </w:pPr>
    </w:p>
    <w:p w14:paraId="25F6C909" w14:textId="77777777" w:rsidR="00B01496" w:rsidRPr="00585F66" w:rsidRDefault="00B01496" w:rsidP="006716E9">
      <w:pPr>
        <w:jc w:val="right"/>
        <w:rPr>
          <w:rFonts w:cstheme="minorHAnsi"/>
          <w:b/>
          <w:color w:val="000000" w:themeColor="text1"/>
          <w:sz w:val="28"/>
          <w:szCs w:val="19"/>
        </w:rPr>
      </w:pPr>
    </w:p>
    <w:p w14:paraId="0278C169" w14:textId="77777777" w:rsidR="00B01496" w:rsidRPr="00585F66" w:rsidRDefault="00B01496" w:rsidP="006716E9">
      <w:pPr>
        <w:jc w:val="right"/>
        <w:rPr>
          <w:rFonts w:cstheme="minorHAnsi"/>
          <w:b/>
          <w:color w:val="000000" w:themeColor="text1"/>
          <w:sz w:val="28"/>
          <w:szCs w:val="19"/>
        </w:rPr>
      </w:pPr>
    </w:p>
    <w:p w14:paraId="40FDBB6E" w14:textId="77777777" w:rsidR="00B01496" w:rsidRPr="00585F66" w:rsidRDefault="00B01496" w:rsidP="006716E9">
      <w:pPr>
        <w:jc w:val="right"/>
        <w:rPr>
          <w:rFonts w:cstheme="minorHAnsi"/>
          <w:b/>
          <w:color w:val="000000" w:themeColor="text1"/>
          <w:sz w:val="28"/>
          <w:szCs w:val="19"/>
        </w:rPr>
      </w:pPr>
    </w:p>
    <w:p w14:paraId="2FC0B23F" w14:textId="77777777" w:rsidR="00B01496" w:rsidRPr="00585F66" w:rsidRDefault="00B01496" w:rsidP="006716E9">
      <w:pPr>
        <w:jc w:val="right"/>
        <w:rPr>
          <w:rFonts w:cstheme="minorHAnsi"/>
          <w:b/>
          <w:color w:val="000000" w:themeColor="text1"/>
          <w:sz w:val="28"/>
          <w:szCs w:val="19"/>
        </w:rPr>
      </w:pPr>
    </w:p>
    <w:p w14:paraId="518E8E42" w14:textId="77777777" w:rsidR="00B01496" w:rsidRPr="00585F66" w:rsidRDefault="00B01496" w:rsidP="006716E9">
      <w:pPr>
        <w:jc w:val="right"/>
        <w:rPr>
          <w:rFonts w:cstheme="minorHAnsi"/>
          <w:b/>
          <w:color w:val="000000" w:themeColor="text1"/>
          <w:sz w:val="28"/>
          <w:szCs w:val="19"/>
        </w:rPr>
      </w:pPr>
    </w:p>
    <w:p w14:paraId="0D543E30" w14:textId="77777777" w:rsidR="00B01496" w:rsidRPr="00585F66" w:rsidRDefault="00B01496" w:rsidP="006716E9">
      <w:pPr>
        <w:jc w:val="right"/>
        <w:rPr>
          <w:rFonts w:cstheme="minorHAnsi"/>
          <w:b/>
          <w:color w:val="000000" w:themeColor="text1"/>
          <w:sz w:val="28"/>
          <w:szCs w:val="19"/>
        </w:rPr>
      </w:pPr>
    </w:p>
    <w:p w14:paraId="4E4F3A26" w14:textId="77777777" w:rsidR="00B01496" w:rsidRPr="00585F66" w:rsidRDefault="00B01496" w:rsidP="006716E9">
      <w:pPr>
        <w:jc w:val="right"/>
        <w:rPr>
          <w:rFonts w:cstheme="minorHAnsi"/>
          <w:b/>
          <w:color w:val="000000" w:themeColor="text1"/>
          <w:sz w:val="28"/>
          <w:szCs w:val="19"/>
        </w:rPr>
      </w:pPr>
    </w:p>
    <w:p w14:paraId="70822082" w14:textId="77777777" w:rsidR="00B01496" w:rsidRPr="00585F66" w:rsidRDefault="00B01496" w:rsidP="006716E9">
      <w:pPr>
        <w:jc w:val="right"/>
        <w:rPr>
          <w:rFonts w:cstheme="minorHAnsi"/>
          <w:b/>
          <w:color w:val="000000" w:themeColor="text1"/>
          <w:sz w:val="28"/>
          <w:szCs w:val="19"/>
        </w:rPr>
      </w:pPr>
    </w:p>
    <w:p w14:paraId="155F71EC" w14:textId="4B26167C" w:rsidR="006716E9" w:rsidRPr="00585F66" w:rsidRDefault="006716E9" w:rsidP="006716E9">
      <w:pPr>
        <w:jc w:val="right"/>
        <w:rPr>
          <w:rFonts w:cstheme="minorHAnsi"/>
          <w:b/>
          <w:color w:val="000000" w:themeColor="text1"/>
          <w:sz w:val="28"/>
          <w:szCs w:val="19"/>
        </w:rPr>
      </w:pPr>
      <w:r w:rsidRPr="00585F66">
        <w:rPr>
          <w:rFonts w:cstheme="minorHAnsi"/>
          <w:b/>
          <w:color w:val="000000" w:themeColor="text1"/>
          <w:sz w:val="28"/>
          <w:szCs w:val="19"/>
        </w:rPr>
        <w:t xml:space="preserve">Annexure 1 </w:t>
      </w:r>
    </w:p>
    <w:p w14:paraId="09A21BE4" w14:textId="77777777" w:rsidR="006716E9" w:rsidRPr="00585F66" w:rsidRDefault="006716E9" w:rsidP="006716E9">
      <w:pPr>
        <w:autoSpaceDE w:val="0"/>
        <w:autoSpaceDN w:val="0"/>
        <w:adjustRightInd w:val="0"/>
        <w:spacing w:line="240" w:lineRule="auto"/>
        <w:ind w:left="-1080" w:right="-694"/>
        <w:jc w:val="center"/>
        <w:rPr>
          <w:rFonts w:cstheme="minorHAnsi"/>
          <w:b/>
          <w:i/>
          <w:iCs/>
          <w:color w:val="000000" w:themeColor="text1"/>
        </w:rPr>
      </w:pPr>
      <w:r w:rsidRPr="00585F66">
        <w:rPr>
          <w:rFonts w:cstheme="minorHAnsi"/>
          <w:b/>
          <w:i/>
          <w:iCs/>
          <w:color w:val="000000" w:themeColor="text1"/>
        </w:rPr>
        <w:t>(</w:t>
      </w:r>
      <w:r w:rsidRPr="00585F66">
        <w:rPr>
          <w:rFonts w:cstheme="minorHAnsi"/>
          <w:i/>
          <w:snapToGrid w:val="0"/>
          <w:color w:val="000000" w:themeColor="text1"/>
        </w:rPr>
        <w:t>To be provided on the Letterhead of the certifying Chartered Accountant/ Company Secretary in Practice</w:t>
      </w:r>
      <w:r w:rsidRPr="00585F66">
        <w:rPr>
          <w:rFonts w:cstheme="minorHAnsi"/>
          <w:b/>
          <w:i/>
          <w:iCs/>
          <w:color w:val="000000" w:themeColor="text1"/>
        </w:rPr>
        <w:t>)</w:t>
      </w:r>
    </w:p>
    <w:p w14:paraId="2B14B34D" w14:textId="77777777" w:rsidR="006716E9" w:rsidRPr="00585F66" w:rsidRDefault="006716E9" w:rsidP="006716E9">
      <w:pPr>
        <w:autoSpaceDE w:val="0"/>
        <w:autoSpaceDN w:val="0"/>
        <w:adjustRightInd w:val="0"/>
        <w:spacing w:line="240" w:lineRule="auto"/>
        <w:jc w:val="center"/>
        <w:rPr>
          <w:rFonts w:cstheme="minorHAnsi"/>
          <w:b/>
          <w:bCs/>
          <w:color w:val="000000" w:themeColor="text1"/>
          <w:u w:val="single"/>
        </w:rPr>
      </w:pPr>
      <w:r w:rsidRPr="00585F66">
        <w:rPr>
          <w:rFonts w:cstheme="minorHAnsi"/>
          <w:b/>
          <w:bCs/>
          <w:color w:val="000000" w:themeColor="text1"/>
          <w:u w:val="single"/>
        </w:rPr>
        <w:t>NETWORTH CERTIFICATE</w:t>
      </w:r>
    </w:p>
    <w:p w14:paraId="542F50A9" w14:textId="77777777" w:rsidR="006716E9" w:rsidRPr="00585F66" w:rsidRDefault="006716E9" w:rsidP="006716E9">
      <w:pPr>
        <w:autoSpaceDE w:val="0"/>
        <w:autoSpaceDN w:val="0"/>
        <w:adjustRightInd w:val="0"/>
        <w:spacing w:after="0" w:line="480" w:lineRule="auto"/>
        <w:jc w:val="both"/>
        <w:rPr>
          <w:rFonts w:cstheme="minorHAnsi"/>
          <w:color w:val="000000" w:themeColor="text1"/>
        </w:rPr>
      </w:pPr>
    </w:p>
    <w:p w14:paraId="36364C5F" w14:textId="77777777" w:rsidR="00FE4656" w:rsidRPr="00585F66" w:rsidRDefault="00FE4656" w:rsidP="00FE4656">
      <w:pPr>
        <w:autoSpaceDE w:val="0"/>
        <w:autoSpaceDN w:val="0"/>
        <w:adjustRightInd w:val="0"/>
        <w:spacing w:after="0" w:line="240" w:lineRule="auto"/>
        <w:ind w:left="-90"/>
        <w:jc w:val="both"/>
        <w:rPr>
          <w:rFonts w:cstheme="minorHAnsi"/>
          <w:color w:val="000000" w:themeColor="text1"/>
          <w:lang w:val="en-US"/>
        </w:rPr>
      </w:pPr>
      <w:r w:rsidRPr="00585F66">
        <w:rPr>
          <w:rFonts w:cstheme="minorHAnsi"/>
          <w:color w:val="000000" w:themeColor="text1"/>
          <w:lang w:val="en-US"/>
        </w:rPr>
        <w:t xml:space="preserve">This is to certify that the Net worth of M/s. _______________________ (Name of the Entity) as on __________ is Rs. ______________ /- (Rupees ____________ only) and the same is as per the statement of computation. </w:t>
      </w:r>
    </w:p>
    <w:p w14:paraId="5C1C9E58" w14:textId="77777777" w:rsidR="00FE4656" w:rsidRPr="00585F66" w:rsidRDefault="00FE4656" w:rsidP="00FE4656">
      <w:pPr>
        <w:autoSpaceDE w:val="0"/>
        <w:autoSpaceDN w:val="0"/>
        <w:adjustRightInd w:val="0"/>
        <w:spacing w:after="0" w:line="240" w:lineRule="auto"/>
        <w:ind w:left="-90"/>
        <w:jc w:val="both"/>
        <w:rPr>
          <w:rFonts w:cstheme="minorHAnsi"/>
          <w:color w:val="000000" w:themeColor="text1"/>
        </w:rPr>
      </w:pPr>
    </w:p>
    <w:p w14:paraId="50F37AE5" w14:textId="61AF5955" w:rsidR="00FE4656" w:rsidRPr="00585F66" w:rsidRDefault="00FE4656" w:rsidP="00FE4656">
      <w:pPr>
        <w:autoSpaceDE w:val="0"/>
        <w:autoSpaceDN w:val="0"/>
        <w:adjustRightInd w:val="0"/>
        <w:spacing w:after="0" w:line="240" w:lineRule="auto"/>
        <w:ind w:left="-90"/>
        <w:jc w:val="both"/>
        <w:rPr>
          <w:rFonts w:cstheme="minorHAnsi"/>
          <w:color w:val="000000" w:themeColor="text1"/>
        </w:rPr>
      </w:pPr>
      <w:r w:rsidRPr="00585F66">
        <w:rPr>
          <w:rFonts w:cstheme="minorHAnsi"/>
          <w:color w:val="000000" w:themeColor="text1"/>
        </w:rPr>
        <w:t>The computation of Networth is in accordance with the method of computation prescribed by SEBI as per Schedule VI of Securities and Exchange Board of Indi</w:t>
      </w:r>
      <w:r w:rsidR="003F3925" w:rsidRPr="00585F66">
        <w:rPr>
          <w:rFonts w:cstheme="minorHAnsi"/>
          <w:color w:val="000000" w:themeColor="text1"/>
        </w:rPr>
        <w:t>a (Stock Brokers</w:t>
      </w:r>
      <w:r w:rsidRPr="00585F66">
        <w:rPr>
          <w:rFonts w:cstheme="minorHAnsi"/>
          <w:color w:val="000000" w:themeColor="text1"/>
        </w:rPr>
        <w:t>)</w:t>
      </w:r>
      <w:r w:rsidR="00054247" w:rsidRPr="00585F66">
        <w:rPr>
          <w:rFonts w:cstheme="minorHAnsi"/>
          <w:color w:val="000000" w:themeColor="text1"/>
        </w:rPr>
        <w:t xml:space="preserve"> Regulations 1992 </w:t>
      </w:r>
      <w:r w:rsidRPr="00585F66">
        <w:rPr>
          <w:rFonts w:cstheme="minorHAnsi"/>
          <w:color w:val="000000" w:themeColor="text1"/>
        </w:rPr>
        <w:t>or as amended from time to time.  We further certify that we are not the related party to the aforesaid entity.</w:t>
      </w:r>
    </w:p>
    <w:p w14:paraId="27BE96BC" w14:textId="77777777" w:rsidR="00FE4656" w:rsidRPr="00585F66" w:rsidRDefault="00FE4656" w:rsidP="00FE4656">
      <w:pPr>
        <w:autoSpaceDE w:val="0"/>
        <w:autoSpaceDN w:val="0"/>
        <w:adjustRightInd w:val="0"/>
        <w:spacing w:after="0" w:line="240" w:lineRule="auto"/>
        <w:ind w:left="-90"/>
        <w:jc w:val="both"/>
        <w:rPr>
          <w:rFonts w:cstheme="minorHAnsi"/>
          <w:color w:val="000000" w:themeColor="text1"/>
        </w:rPr>
      </w:pPr>
    </w:p>
    <w:p w14:paraId="55A96138" w14:textId="77777777" w:rsidR="00FE4656" w:rsidRPr="00585F66" w:rsidRDefault="00FE4656" w:rsidP="00FE4656">
      <w:pPr>
        <w:autoSpaceDE w:val="0"/>
        <w:autoSpaceDN w:val="0"/>
        <w:adjustRightInd w:val="0"/>
        <w:spacing w:after="0" w:line="240" w:lineRule="auto"/>
        <w:ind w:left="-90"/>
        <w:jc w:val="both"/>
        <w:rPr>
          <w:rFonts w:cstheme="minorHAnsi"/>
          <w:color w:val="000000" w:themeColor="text1"/>
        </w:rPr>
      </w:pPr>
      <w:r w:rsidRPr="00585F66">
        <w:rPr>
          <w:rFonts w:cstheme="minorHAnsi"/>
          <w:color w:val="000000" w:themeColor="text1"/>
        </w:rPr>
        <w:t xml:space="preserve">The computation of Networth, based on my / our scrutiny of the books of accounts, records and documents is true and correct to the best of my / our knowledge and as per information provided to my / our satisfaction. </w:t>
      </w:r>
    </w:p>
    <w:p w14:paraId="5E0380A7" w14:textId="77777777" w:rsidR="00F51C04" w:rsidRPr="00585F66" w:rsidRDefault="00F51C04" w:rsidP="006716E9">
      <w:pPr>
        <w:autoSpaceDE w:val="0"/>
        <w:autoSpaceDN w:val="0"/>
        <w:adjustRightInd w:val="0"/>
        <w:spacing w:line="240" w:lineRule="auto"/>
        <w:ind w:firstLine="360"/>
        <w:rPr>
          <w:rFonts w:cstheme="minorHAnsi"/>
          <w:color w:val="000000" w:themeColor="text1"/>
        </w:rPr>
      </w:pPr>
    </w:p>
    <w:p w14:paraId="476B624E" w14:textId="75682AB3" w:rsidR="006716E9" w:rsidRPr="00585F66" w:rsidRDefault="006716E9" w:rsidP="006716E9">
      <w:pPr>
        <w:autoSpaceDE w:val="0"/>
        <w:autoSpaceDN w:val="0"/>
        <w:adjustRightInd w:val="0"/>
        <w:rPr>
          <w:rFonts w:cstheme="minorHAnsi"/>
          <w:b/>
          <w:bCs/>
          <w:color w:val="000000" w:themeColor="text1"/>
        </w:rPr>
      </w:pPr>
      <w:proofErr w:type="gramStart"/>
      <w:r w:rsidRPr="00585F66">
        <w:rPr>
          <w:rFonts w:cstheme="minorHAnsi"/>
          <w:b/>
          <w:color w:val="000000" w:themeColor="text1"/>
        </w:rPr>
        <w:t>Computation of Networth of M/s _________________</w:t>
      </w:r>
      <w:r w:rsidR="0020746F" w:rsidRPr="00585F66">
        <w:rPr>
          <w:rFonts w:cstheme="minorHAnsi"/>
          <w:b/>
          <w:color w:val="000000" w:themeColor="text1"/>
        </w:rPr>
        <w:t>_______</w:t>
      </w:r>
      <w:r w:rsidRPr="00585F66">
        <w:rPr>
          <w:rFonts w:cstheme="minorHAnsi"/>
          <w:b/>
          <w:color w:val="000000" w:themeColor="text1"/>
        </w:rPr>
        <w:t>_____ (name of the entity)</w:t>
      </w:r>
      <w:r w:rsidR="0020746F" w:rsidRPr="00585F66">
        <w:rPr>
          <w:rFonts w:cstheme="minorHAnsi"/>
          <w:b/>
          <w:color w:val="000000" w:themeColor="text1"/>
        </w:rPr>
        <w:t>.</w:t>
      </w:r>
      <w:proofErr w:type="gramEnd"/>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441"/>
        <w:gridCol w:w="992"/>
      </w:tblGrid>
      <w:tr w:rsidR="00585F66" w:rsidRPr="00585F66" w14:paraId="4329778F" w14:textId="77777777" w:rsidTr="0020746F">
        <w:tc>
          <w:tcPr>
            <w:tcW w:w="918" w:type="dxa"/>
            <w:shd w:val="clear" w:color="auto" w:fill="auto"/>
          </w:tcPr>
          <w:p w14:paraId="7DA729CB" w14:textId="77777777" w:rsidR="006716E9" w:rsidRPr="00585F66" w:rsidRDefault="006716E9" w:rsidP="004A0E53">
            <w:pPr>
              <w:pStyle w:val="Default"/>
              <w:jc w:val="both"/>
              <w:rPr>
                <w:rFonts w:asciiTheme="minorHAnsi" w:hAnsiTheme="minorHAnsi" w:cstheme="minorHAnsi"/>
                <w:b/>
                <w:color w:val="000000" w:themeColor="text1"/>
                <w:sz w:val="22"/>
                <w:szCs w:val="22"/>
              </w:rPr>
            </w:pPr>
            <w:r w:rsidRPr="00585F66">
              <w:rPr>
                <w:rFonts w:asciiTheme="minorHAnsi" w:hAnsiTheme="minorHAnsi" w:cstheme="minorHAnsi"/>
                <w:b/>
                <w:color w:val="000000" w:themeColor="text1"/>
                <w:sz w:val="22"/>
                <w:szCs w:val="22"/>
              </w:rPr>
              <w:t>Sr. No.</w:t>
            </w:r>
          </w:p>
        </w:tc>
        <w:tc>
          <w:tcPr>
            <w:tcW w:w="7441" w:type="dxa"/>
            <w:shd w:val="clear" w:color="auto" w:fill="auto"/>
          </w:tcPr>
          <w:p w14:paraId="10FB3A53" w14:textId="77777777" w:rsidR="006716E9" w:rsidRPr="00585F66" w:rsidRDefault="006716E9" w:rsidP="004A0E53">
            <w:pPr>
              <w:pStyle w:val="Default"/>
              <w:jc w:val="both"/>
              <w:rPr>
                <w:rFonts w:asciiTheme="minorHAnsi" w:hAnsiTheme="minorHAnsi" w:cstheme="minorHAnsi"/>
                <w:b/>
                <w:color w:val="000000" w:themeColor="text1"/>
                <w:sz w:val="22"/>
                <w:szCs w:val="22"/>
              </w:rPr>
            </w:pPr>
            <w:r w:rsidRPr="00585F66">
              <w:rPr>
                <w:rFonts w:asciiTheme="minorHAnsi" w:hAnsiTheme="minorHAnsi" w:cstheme="minorHAnsi"/>
                <w:b/>
                <w:color w:val="000000" w:themeColor="text1"/>
                <w:sz w:val="22"/>
                <w:szCs w:val="22"/>
              </w:rPr>
              <w:t>Particulars</w:t>
            </w:r>
          </w:p>
        </w:tc>
        <w:tc>
          <w:tcPr>
            <w:tcW w:w="992" w:type="dxa"/>
            <w:shd w:val="clear" w:color="auto" w:fill="auto"/>
          </w:tcPr>
          <w:p w14:paraId="10F93315" w14:textId="77777777" w:rsidR="006716E9" w:rsidRPr="00585F66" w:rsidRDefault="006716E9" w:rsidP="004A0E53">
            <w:pPr>
              <w:pStyle w:val="Default"/>
              <w:jc w:val="both"/>
              <w:rPr>
                <w:rFonts w:asciiTheme="minorHAnsi" w:hAnsiTheme="minorHAnsi" w:cstheme="minorHAnsi"/>
                <w:b/>
                <w:color w:val="000000" w:themeColor="text1"/>
                <w:sz w:val="22"/>
                <w:szCs w:val="22"/>
              </w:rPr>
            </w:pPr>
            <w:r w:rsidRPr="00585F66">
              <w:rPr>
                <w:rFonts w:asciiTheme="minorHAnsi" w:hAnsiTheme="minorHAnsi" w:cstheme="minorHAnsi"/>
                <w:b/>
                <w:color w:val="000000" w:themeColor="text1"/>
                <w:sz w:val="22"/>
                <w:szCs w:val="22"/>
              </w:rPr>
              <w:t>Amount</w:t>
            </w:r>
          </w:p>
        </w:tc>
      </w:tr>
      <w:tr w:rsidR="00585F66" w:rsidRPr="00585F66" w14:paraId="4E4DF43C" w14:textId="77777777" w:rsidTr="0020746F">
        <w:tc>
          <w:tcPr>
            <w:tcW w:w="918" w:type="dxa"/>
            <w:shd w:val="clear" w:color="auto" w:fill="auto"/>
          </w:tcPr>
          <w:p w14:paraId="28DC7501" w14:textId="77777777" w:rsidR="006716E9" w:rsidRPr="00585F66" w:rsidRDefault="006716E9" w:rsidP="004A0E53">
            <w:pPr>
              <w:pStyle w:val="Default"/>
              <w:numPr>
                <w:ilvl w:val="0"/>
                <w:numId w:val="2"/>
              </w:numPr>
              <w:rPr>
                <w:rFonts w:asciiTheme="minorHAnsi" w:hAnsiTheme="minorHAnsi" w:cstheme="minorHAnsi"/>
                <w:b/>
                <w:snapToGrid w:val="0"/>
                <w:color w:val="000000" w:themeColor="text1"/>
                <w:sz w:val="22"/>
                <w:szCs w:val="22"/>
              </w:rPr>
            </w:pPr>
          </w:p>
        </w:tc>
        <w:tc>
          <w:tcPr>
            <w:tcW w:w="7441" w:type="dxa"/>
            <w:shd w:val="clear" w:color="auto" w:fill="auto"/>
          </w:tcPr>
          <w:p w14:paraId="2C8168DA" w14:textId="77777777" w:rsidR="006716E9" w:rsidRPr="00585F66" w:rsidRDefault="006716E9" w:rsidP="004A0E53">
            <w:pPr>
              <w:pStyle w:val="Default"/>
              <w:jc w:val="both"/>
              <w:rPr>
                <w:rFonts w:asciiTheme="minorHAnsi" w:hAnsiTheme="minorHAnsi" w:cstheme="minorHAnsi"/>
                <w:color w:val="000000" w:themeColor="text1"/>
                <w:sz w:val="22"/>
                <w:szCs w:val="22"/>
              </w:rPr>
            </w:pPr>
            <w:r w:rsidRPr="00585F66">
              <w:rPr>
                <w:rFonts w:asciiTheme="minorHAnsi" w:hAnsiTheme="minorHAnsi" w:cstheme="minorHAnsi"/>
                <w:snapToGrid w:val="0"/>
                <w:color w:val="000000" w:themeColor="text1"/>
                <w:sz w:val="22"/>
                <w:szCs w:val="22"/>
              </w:rPr>
              <w:t>Capital</w:t>
            </w:r>
          </w:p>
        </w:tc>
        <w:tc>
          <w:tcPr>
            <w:tcW w:w="992" w:type="dxa"/>
            <w:shd w:val="clear" w:color="auto" w:fill="auto"/>
          </w:tcPr>
          <w:p w14:paraId="7BA04397" w14:textId="77777777" w:rsidR="006716E9" w:rsidRPr="00585F66" w:rsidRDefault="006716E9" w:rsidP="004A0E53">
            <w:pPr>
              <w:pStyle w:val="Default"/>
              <w:jc w:val="both"/>
              <w:rPr>
                <w:rFonts w:asciiTheme="minorHAnsi" w:hAnsiTheme="minorHAnsi" w:cstheme="minorHAnsi"/>
                <w:color w:val="000000" w:themeColor="text1"/>
                <w:sz w:val="22"/>
                <w:szCs w:val="22"/>
              </w:rPr>
            </w:pPr>
          </w:p>
        </w:tc>
      </w:tr>
      <w:tr w:rsidR="00585F66" w:rsidRPr="00585F66" w14:paraId="0C1EF421" w14:textId="77777777" w:rsidTr="0020746F">
        <w:tc>
          <w:tcPr>
            <w:tcW w:w="918" w:type="dxa"/>
            <w:shd w:val="clear" w:color="auto" w:fill="auto"/>
          </w:tcPr>
          <w:p w14:paraId="1F9F8FB8" w14:textId="77777777" w:rsidR="006716E9" w:rsidRPr="00585F66" w:rsidRDefault="006716E9" w:rsidP="004A0E53">
            <w:pPr>
              <w:pStyle w:val="Default"/>
              <w:numPr>
                <w:ilvl w:val="0"/>
                <w:numId w:val="2"/>
              </w:numPr>
              <w:rPr>
                <w:rFonts w:asciiTheme="minorHAnsi" w:hAnsiTheme="minorHAnsi" w:cstheme="minorHAnsi"/>
                <w:b/>
                <w:snapToGrid w:val="0"/>
                <w:color w:val="000000" w:themeColor="text1"/>
                <w:sz w:val="22"/>
                <w:szCs w:val="22"/>
              </w:rPr>
            </w:pPr>
          </w:p>
        </w:tc>
        <w:tc>
          <w:tcPr>
            <w:tcW w:w="7441" w:type="dxa"/>
            <w:shd w:val="clear" w:color="auto" w:fill="auto"/>
          </w:tcPr>
          <w:p w14:paraId="47594B3A" w14:textId="77777777" w:rsidR="006716E9" w:rsidRPr="00585F66" w:rsidRDefault="006716E9" w:rsidP="004A0E53">
            <w:pPr>
              <w:pStyle w:val="Default"/>
              <w:jc w:val="both"/>
              <w:rPr>
                <w:rFonts w:asciiTheme="minorHAnsi" w:hAnsiTheme="minorHAnsi" w:cstheme="minorHAnsi"/>
                <w:color w:val="000000" w:themeColor="text1"/>
                <w:sz w:val="22"/>
                <w:szCs w:val="22"/>
              </w:rPr>
            </w:pPr>
            <w:r w:rsidRPr="00585F66">
              <w:rPr>
                <w:rFonts w:asciiTheme="minorHAnsi" w:hAnsiTheme="minorHAnsi" w:cstheme="minorHAnsi"/>
                <w:snapToGrid w:val="0"/>
                <w:color w:val="000000" w:themeColor="text1"/>
                <w:sz w:val="22"/>
                <w:szCs w:val="22"/>
              </w:rPr>
              <w:t>Free Reserves</w:t>
            </w:r>
          </w:p>
        </w:tc>
        <w:tc>
          <w:tcPr>
            <w:tcW w:w="992" w:type="dxa"/>
            <w:shd w:val="clear" w:color="auto" w:fill="auto"/>
          </w:tcPr>
          <w:p w14:paraId="47A7D18D" w14:textId="77777777" w:rsidR="006716E9" w:rsidRPr="00585F66" w:rsidRDefault="006716E9" w:rsidP="004A0E53">
            <w:pPr>
              <w:pStyle w:val="Default"/>
              <w:jc w:val="both"/>
              <w:rPr>
                <w:rFonts w:asciiTheme="minorHAnsi" w:hAnsiTheme="minorHAnsi" w:cstheme="minorHAnsi"/>
                <w:color w:val="000000" w:themeColor="text1"/>
                <w:sz w:val="22"/>
                <w:szCs w:val="22"/>
              </w:rPr>
            </w:pPr>
          </w:p>
        </w:tc>
      </w:tr>
      <w:tr w:rsidR="00585F66" w:rsidRPr="00585F66" w14:paraId="2A15A63F" w14:textId="77777777" w:rsidTr="0020746F">
        <w:trPr>
          <w:trHeight w:val="221"/>
        </w:trPr>
        <w:tc>
          <w:tcPr>
            <w:tcW w:w="918" w:type="dxa"/>
            <w:shd w:val="clear" w:color="auto" w:fill="auto"/>
          </w:tcPr>
          <w:p w14:paraId="1A884AAA" w14:textId="77777777" w:rsidR="006716E9" w:rsidRPr="00585F66" w:rsidRDefault="006716E9" w:rsidP="004A0E53">
            <w:pPr>
              <w:numPr>
                <w:ilvl w:val="0"/>
                <w:numId w:val="2"/>
              </w:numPr>
              <w:tabs>
                <w:tab w:val="left" w:pos="540"/>
              </w:tabs>
              <w:spacing w:line="240" w:lineRule="auto"/>
              <w:rPr>
                <w:rFonts w:cstheme="minorHAnsi"/>
                <w:b/>
                <w:snapToGrid w:val="0"/>
                <w:color w:val="000000" w:themeColor="text1"/>
              </w:rPr>
            </w:pPr>
          </w:p>
        </w:tc>
        <w:tc>
          <w:tcPr>
            <w:tcW w:w="7441" w:type="dxa"/>
            <w:shd w:val="clear" w:color="auto" w:fill="auto"/>
          </w:tcPr>
          <w:p w14:paraId="79A529D4" w14:textId="77777777" w:rsidR="006716E9" w:rsidRPr="00585F66" w:rsidRDefault="006716E9" w:rsidP="004A0E53">
            <w:pPr>
              <w:tabs>
                <w:tab w:val="left" w:pos="540"/>
              </w:tabs>
              <w:spacing w:line="240" w:lineRule="auto"/>
              <w:jc w:val="both"/>
              <w:rPr>
                <w:rFonts w:cstheme="minorHAnsi"/>
                <w:color w:val="000000" w:themeColor="text1"/>
              </w:rPr>
            </w:pPr>
            <w:r w:rsidRPr="00585F66">
              <w:rPr>
                <w:rFonts w:cstheme="minorHAnsi"/>
                <w:snapToGrid w:val="0"/>
                <w:color w:val="000000" w:themeColor="text1"/>
              </w:rPr>
              <w:t>Less: Non-allowable assets viz.</w:t>
            </w:r>
          </w:p>
        </w:tc>
        <w:tc>
          <w:tcPr>
            <w:tcW w:w="992" w:type="dxa"/>
            <w:shd w:val="clear" w:color="auto" w:fill="auto"/>
          </w:tcPr>
          <w:p w14:paraId="5042B48F" w14:textId="77777777" w:rsidR="006716E9" w:rsidRPr="00585F66" w:rsidRDefault="006716E9" w:rsidP="004A0E53">
            <w:pPr>
              <w:pStyle w:val="Default"/>
              <w:jc w:val="both"/>
              <w:rPr>
                <w:rFonts w:asciiTheme="minorHAnsi" w:hAnsiTheme="minorHAnsi" w:cstheme="minorHAnsi"/>
                <w:color w:val="000000" w:themeColor="text1"/>
                <w:sz w:val="22"/>
                <w:szCs w:val="22"/>
              </w:rPr>
            </w:pPr>
          </w:p>
        </w:tc>
      </w:tr>
      <w:tr w:rsidR="00585F66" w:rsidRPr="00585F66" w14:paraId="17E5934F" w14:textId="77777777" w:rsidTr="0020746F">
        <w:trPr>
          <w:trHeight w:val="296"/>
        </w:trPr>
        <w:tc>
          <w:tcPr>
            <w:tcW w:w="918" w:type="dxa"/>
            <w:shd w:val="clear" w:color="auto" w:fill="auto"/>
          </w:tcPr>
          <w:p w14:paraId="1B977FA1" w14:textId="77777777" w:rsidR="006716E9" w:rsidRPr="00585F66" w:rsidRDefault="006716E9" w:rsidP="004A0E53">
            <w:pPr>
              <w:tabs>
                <w:tab w:val="left" w:pos="540"/>
              </w:tabs>
              <w:spacing w:after="0" w:line="240" w:lineRule="auto"/>
              <w:ind w:left="360"/>
              <w:rPr>
                <w:rFonts w:cstheme="minorHAnsi"/>
                <w:snapToGrid w:val="0"/>
                <w:color w:val="000000" w:themeColor="text1"/>
              </w:rPr>
            </w:pPr>
          </w:p>
        </w:tc>
        <w:tc>
          <w:tcPr>
            <w:tcW w:w="7441" w:type="dxa"/>
            <w:shd w:val="clear" w:color="auto" w:fill="auto"/>
          </w:tcPr>
          <w:p w14:paraId="1E07F492" w14:textId="77777777" w:rsidR="006716E9" w:rsidRPr="00585F66" w:rsidRDefault="006716E9" w:rsidP="004A0E53">
            <w:pPr>
              <w:numPr>
                <w:ilvl w:val="0"/>
                <w:numId w:val="1"/>
              </w:numPr>
              <w:tabs>
                <w:tab w:val="left" w:pos="540"/>
              </w:tabs>
              <w:spacing w:after="0" w:line="240" w:lineRule="auto"/>
              <w:ind w:left="720"/>
              <w:jc w:val="both"/>
              <w:rPr>
                <w:rFonts w:cstheme="minorHAnsi"/>
                <w:color w:val="000000" w:themeColor="text1"/>
              </w:rPr>
            </w:pPr>
            <w:r w:rsidRPr="00585F66">
              <w:rPr>
                <w:rFonts w:cstheme="minorHAnsi"/>
                <w:snapToGrid w:val="0"/>
                <w:color w:val="000000" w:themeColor="text1"/>
              </w:rPr>
              <w:t>Fixed Assets</w:t>
            </w:r>
          </w:p>
        </w:tc>
        <w:tc>
          <w:tcPr>
            <w:tcW w:w="992" w:type="dxa"/>
            <w:shd w:val="clear" w:color="auto" w:fill="auto"/>
          </w:tcPr>
          <w:p w14:paraId="323E378B" w14:textId="77777777" w:rsidR="006716E9" w:rsidRPr="00585F66" w:rsidRDefault="006716E9" w:rsidP="004A0E53">
            <w:pPr>
              <w:pStyle w:val="Default"/>
              <w:jc w:val="both"/>
              <w:rPr>
                <w:rFonts w:asciiTheme="minorHAnsi" w:hAnsiTheme="minorHAnsi" w:cstheme="minorHAnsi"/>
                <w:color w:val="000000" w:themeColor="text1"/>
                <w:sz w:val="22"/>
                <w:szCs w:val="22"/>
              </w:rPr>
            </w:pPr>
          </w:p>
        </w:tc>
      </w:tr>
      <w:tr w:rsidR="00585F66" w:rsidRPr="00585F66" w14:paraId="52FDD16C" w14:textId="77777777" w:rsidTr="0020746F">
        <w:tc>
          <w:tcPr>
            <w:tcW w:w="918" w:type="dxa"/>
            <w:shd w:val="clear" w:color="auto" w:fill="auto"/>
          </w:tcPr>
          <w:p w14:paraId="5D50FFEF" w14:textId="77777777" w:rsidR="006716E9" w:rsidRPr="00585F66" w:rsidRDefault="006716E9" w:rsidP="004A0E53">
            <w:pPr>
              <w:tabs>
                <w:tab w:val="left" w:pos="540"/>
              </w:tabs>
              <w:spacing w:after="0" w:line="240" w:lineRule="auto"/>
              <w:ind w:left="360"/>
              <w:rPr>
                <w:rFonts w:cstheme="minorHAnsi"/>
                <w:snapToGrid w:val="0"/>
                <w:color w:val="000000" w:themeColor="text1"/>
              </w:rPr>
            </w:pPr>
          </w:p>
        </w:tc>
        <w:tc>
          <w:tcPr>
            <w:tcW w:w="7441" w:type="dxa"/>
            <w:shd w:val="clear" w:color="auto" w:fill="auto"/>
          </w:tcPr>
          <w:p w14:paraId="0777638C" w14:textId="77777777" w:rsidR="006716E9" w:rsidRPr="00585F66" w:rsidRDefault="006716E9" w:rsidP="004A0E53">
            <w:pPr>
              <w:numPr>
                <w:ilvl w:val="0"/>
                <w:numId w:val="1"/>
              </w:numPr>
              <w:tabs>
                <w:tab w:val="left" w:pos="540"/>
              </w:tabs>
              <w:spacing w:after="0" w:line="240" w:lineRule="auto"/>
              <w:ind w:left="720"/>
              <w:jc w:val="both"/>
              <w:rPr>
                <w:rFonts w:cstheme="minorHAnsi"/>
                <w:color w:val="000000" w:themeColor="text1"/>
              </w:rPr>
            </w:pPr>
            <w:r w:rsidRPr="00585F66">
              <w:rPr>
                <w:rFonts w:cstheme="minorHAnsi"/>
                <w:snapToGrid w:val="0"/>
                <w:color w:val="000000" w:themeColor="text1"/>
              </w:rPr>
              <w:t>Pledged Securities</w:t>
            </w:r>
          </w:p>
        </w:tc>
        <w:tc>
          <w:tcPr>
            <w:tcW w:w="992" w:type="dxa"/>
            <w:shd w:val="clear" w:color="auto" w:fill="auto"/>
          </w:tcPr>
          <w:p w14:paraId="0A329EAC" w14:textId="77777777" w:rsidR="006716E9" w:rsidRPr="00585F66" w:rsidRDefault="006716E9" w:rsidP="004A0E53">
            <w:pPr>
              <w:pStyle w:val="Default"/>
              <w:jc w:val="both"/>
              <w:rPr>
                <w:rFonts w:asciiTheme="minorHAnsi" w:hAnsiTheme="minorHAnsi" w:cstheme="minorHAnsi"/>
                <w:color w:val="000000" w:themeColor="text1"/>
                <w:sz w:val="22"/>
                <w:szCs w:val="22"/>
              </w:rPr>
            </w:pPr>
          </w:p>
        </w:tc>
      </w:tr>
      <w:tr w:rsidR="00585F66" w:rsidRPr="00585F66" w14:paraId="0A93CAD3" w14:textId="77777777" w:rsidTr="0020746F">
        <w:tc>
          <w:tcPr>
            <w:tcW w:w="918" w:type="dxa"/>
            <w:shd w:val="clear" w:color="auto" w:fill="auto"/>
          </w:tcPr>
          <w:p w14:paraId="6E580B20" w14:textId="77777777" w:rsidR="006716E9" w:rsidRPr="00585F66" w:rsidRDefault="006716E9" w:rsidP="004A0E53">
            <w:pPr>
              <w:tabs>
                <w:tab w:val="left" w:pos="540"/>
              </w:tabs>
              <w:spacing w:after="0" w:line="240" w:lineRule="auto"/>
              <w:ind w:left="360"/>
              <w:rPr>
                <w:rFonts w:cstheme="minorHAnsi"/>
                <w:snapToGrid w:val="0"/>
                <w:color w:val="000000" w:themeColor="text1"/>
              </w:rPr>
            </w:pPr>
          </w:p>
        </w:tc>
        <w:tc>
          <w:tcPr>
            <w:tcW w:w="7441" w:type="dxa"/>
            <w:shd w:val="clear" w:color="auto" w:fill="auto"/>
          </w:tcPr>
          <w:p w14:paraId="42AFC43C" w14:textId="77777777" w:rsidR="006716E9" w:rsidRPr="00585F66" w:rsidRDefault="006716E9" w:rsidP="00C41485">
            <w:pPr>
              <w:numPr>
                <w:ilvl w:val="0"/>
                <w:numId w:val="1"/>
              </w:numPr>
              <w:tabs>
                <w:tab w:val="left" w:pos="540"/>
              </w:tabs>
              <w:spacing w:after="0" w:line="240" w:lineRule="auto"/>
              <w:ind w:left="720"/>
              <w:jc w:val="both"/>
              <w:rPr>
                <w:rFonts w:cstheme="minorHAnsi"/>
                <w:color w:val="000000" w:themeColor="text1"/>
              </w:rPr>
            </w:pPr>
            <w:r w:rsidRPr="00585F66">
              <w:rPr>
                <w:rFonts w:cstheme="minorHAnsi"/>
                <w:snapToGrid w:val="0"/>
                <w:color w:val="000000" w:themeColor="text1"/>
              </w:rPr>
              <w:t>Value of Member’s card</w:t>
            </w:r>
            <w:r w:rsidR="00F51C04" w:rsidRPr="00585F66">
              <w:rPr>
                <w:rFonts w:cstheme="minorHAnsi"/>
                <w:snapToGrid w:val="0"/>
                <w:color w:val="000000" w:themeColor="text1"/>
              </w:rPr>
              <w:t xml:space="preserve"> </w:t>
            </w:r>
          </w:p>
        </w:tc>
        <w:tc>
          <w:tcPr>
            <w:tcW w:w="992" w:type="dxa"/>
            <w:shd w:val="clear" w:color="auto" w:fill="auto"/>
          </w:tcPr>
          <w:p w14:paraId="6C080424" w14:textId="77777777" w:rsidR="006716E9" w:rsidRPr="00585F66" w:rsidRDefault="006716E9" w:rsidP="004A0E53">
            <w:pPr>
              <w:pStyle w:val="Default"/>
              <w:jc w:val="both"/>
              <w:rPr>
                <w:rFonts w:asciiTheme="minorHAnsi" w:hAnsiTheme="minorHAnsi" w:cstheme="minorHAnsi"/>
                <w:color w:val="000000" w:themeColor="text1"/>
                <w:sz w:val="22"/>
                <w:szCs w:val="22"/>
              </w:rPr>
            </w:pPr>
          </w:p>
        </w:tc>
      </w:tr>
      <w:tr w:rsidR="00585F66" w:rsidRPr="00585F66" w14:paraId="53CAECAB" w14:textId="77777777" w:rsidTr="0020746F">
        <w:tc>
          <w:tcPr>
            <w:tcW w:w="918" w:type="dxa"/>
            <w:shd w:val="clear" w:color="auto" w:fill="auto"/>
          </w:tcPr>
          <w:p w14:paraId="62D8A9F0" w14:textId="77777777" w:rsidR="006716E9" w:rsidRPr="00585F66" w:rsidRDefault="006716E9" w:rsidP="004A0E53">
            <w:pPr>
              <w:tabs>
                <w:tab w:val="left" w:pos="540"/>
              </w:tabs>
              <w:spacing w:after="0" w:line="240" w:lineRule="auto"/>
              <w:ind w:left="360"/>
              <w:rPr>
                <w:rFonts w:cstheme="minorHAnsi"/>
                <w:snapToGrid w:val="0"/>
                <w:color w:val="000000" w:themeColor="text1"/>
              </w:rPr>
            </w:pPr>
          </w:p>
        </w:tc>
        <w:tc>
          <w:tcPr>
            <w:tcW w:w="7441" w:type="dxa"/>
            <w:shd w:val="clear" w:color="auto" w:fill="auto"/>
          </w:tcPr>
          <w:p w14:paraId="2CFC3940" w14:textId="77777777" w:rsidR="006716E9" w:rsidRPr="00585F66" w:rsidRDefault="006716E9" w:rsidP="004A0E53">
            <w:pPr>
              <w:numPr>
                <w:ilvl w:val="0"/>
                <w:numId w:val="1"/>
              </w:numPr>
              <w:tabs>
                <w:tab w:val="left" w:pos="540"/>
              </w:tabs>
              <w:spacing w:after="0" w:line="240" w:lineRule="auto"/>
              <w:ind w:left="720"/>
              <w:jc w:val="both"/>
              <w:rPr>
                <w:rFonts w:cstheme="minorHAnsi"/>
                <w:color w:val="000000" w:themeColor="text1"/>
              </w:rPr>
            </w:pPr>
            <w:r w:rsidRPr="00585F66">
              <w:rPr>
                <w:rFonts w:cstheme="minorHAnsi"/>
                <w:snapToGrid w:val="0"/>
                <w:color w:val="000000" w:themeColor="text1"/>
              </w:rPr>
              <w:t>Non-allowable securities (unlisted securities)</w:t>
            </w:r>
          </w:p>
        </w:tc>
        <w:tc>
          <w:tcPr>
            <w:tcW w:w="992" w:type="dxa"/>
            <w:shd w:val="clear" w:color="auto" w:fill="auto"/>
          </w:tcPr>
          <w:p w14:paraId="632D16A7" w14:textId="77777777" w:rsidR="006716E9" w:rsidRPr="00585F66" w:rsidRDefault="006716E9" w:rsidP="004A0E53">
            <w:pPr>
              <w:pStyle w:val="Default"/>
              <w:jc w:val="both"/>
              <w:rPr>
                <w:rFonts w:asciiTheme="minorHAnsi" w:hAnsiTheme="minorHAnsi" w:cstheme="minorHAnsi"/>
                <w:color w:val="000000" w:themeColor="text1"/>
                <w:sz w:val="22"/>
                <w:szCs w:val="22"/>
              </w:rPr>
            </w:pPr>
          </w:p>
        </w:tc>
      </w:tr>
      <w:tr w:rsidR="00585F66" w:rsidRPr="00585F66" w14:paraId="4E794592" w14:textId="77777777" w:rsidTr="0020746F">
        <w:tc>
          <w:tcPr>
            <w:tcW w:w="918" w:type="dxa"/>
            <w:shd w:val="clear" w:color="auto" w:fill="auto"/>
          </w:tcPr>
          <w:p w14:paraId="2AE63A75" w14:textId="77777777" w:rsidR="006716E9" w:rsidRPr="00585F66" w:rsidRDefault="006716E9" w:rsidP="004A0E53">
            <w:pPr>
              <w:tabs>
                <w:tab w:val="left" w:pos="540"/>
              </w:tabs>
              <w:spacing w:after="0" w:line="240" w:lineRule="auto"/>
              <w:ind w:left="360"/>
              <w:rPr>
                <w:rFonts w:cstheme="minorHAnsi"/>
                <w:snapToGrid w:val="0"/>
                <w:color w:val="000000" w:themeColor="text1"/>
              </w:rPr>
            </w:pPr>
          </w:p>
        </w:tc>
        <w:tc>
          <w:tcPr>
            <w:tcW w:w="7441" w:type="dxa"/>
            <w:shd w:val="clear" w:color="auto" w:fill="auto"/>
          </w:tcPr>
          <w:p w14:paraId="5D5D6847" w14:textId="77777777" w:rsidR="006716E9" w:rsidRPr="00585F66" w:rsidRDefault="006716E9" w:rsidP="004A0E53">
            <w:pPr>
              <w:numPr>
                <w:ilvl w:val="0"/>
                <w:numId w:val="1"/>
              </w:numPr>
              <w:tabs>
                <w:tab w:val="left" w:pos="540"/>
              </w:tabs>
              <w:spacing w:after="0" w:line="240" w:lineRule="auto"/>
              <w:ind w:left="720"/>
              <w:jc w:val="both"/>
              <w:rPr>
                <w:rFonts w:cstheme="minorHAnsi"/>
                <w:color w:val="000000" w:themeColor="text1"/>
              </w:rPr>
            </w:pPr>
            <w:r w:rsidRPr="00585F66">
              <w:rPr>
                <w:rFonts w:cstheme="minorHAnsi"/>
                <w:snapToGrid w:val="0"/>
                <w:color w:val="000000" w:themeColor="text1"/>
              </w:rPr>
              <w:t>Bad deliveries</w:t>
            </w:r>
          </w:p>
        </w:tc>
        <w:tc>
          <w:tcPr>
            <w:tcW w:w="992" w:type="dxa"/>
            <w:shd w:val="clear" w:color="auto" w:fill="auto"/>
          </w:tcPr>
          <w:p w14:paraId="63765A76" w14:textId="77777777" w:rsidR="006716E9" w:rsidRPr="00585F66" w:rsidRDefault="006716E9" w:rsidP="004A0E53">
            <w:pPr>
              <w:pStyle w:val="Default"/>
              <w:jc w:val="both"/>
              <w:rPr>
                <w:rFonts w:asciiTheme="minorHAnsi" w:hAnsiTheme="minorHAnsi" w:cstheme="minorHAnsi"/>
                <w:color w:val="000000" w:themeColor="text1"/>
                <w:sz w:val="22"/>
                <w:szCs w:val="22"/>
              </w:rPr>
            </w:pPr>
          </w:p>
        </w:tc>
      </w:tr>
      <w:tr w:rsidR="00585F66" w:rsidRPr="00585F66" w14:paraId="62260BF8" w14:textId="77777777" w:rsidTr="0020746F">
        <w:tc>
          <w:tcPr>
            <w:tcW w:w="918" w:type="dxa"/>
            <w:shd w:val="clear" w:color="auto" w:fill="auto"/>
          </w:tcPr>
          <w:p w14:paraId="1D6ED0AD" w14:textId="77777777" w:rsidR="006716E9" w:rsidRPr="00585F66" w:rsidRDefault="006716E9" w:rsidP="004A0E53">
            <w:pPr>
              <w:tabs>
                <w:tab w:val="left" w:pos="540"/>
              </w:tabs>
              <w:spacing w:after="0" w:line="240" w:lineRule="auto"/>
              <w:ind w:left="360"/>
              <w:rPr>
                <w:rFonts w:cstheme="minorHAnsi"/>
                <w:snapToGrid w:val="0"/>
                <w:color w:val="000000" w:themeColor="text1"/>
              </w:rPr>
            </w:pPr>
          </w:p>
        </w:tc>
        <w:tc>
          <w:tcPr>
            <w:tcW w:w="7441" w:type="dxa"/>
            <w:shd w:val="clear" w:color="auto" w:fill="auto"/>
          </w:tcPr>
          <w:p w14:paraId="3F484022" w14:textId="77777777" w:rsidR="006716E9" w:rsidRPr="00585F66" w:rsidRDefault="006716E9" w:rsidP="004A0E53">
            <w:pPr>
              <w:numPr>
                <w:ilvl w:val="0"/>
                <w:numId w:val="1"/>
              </w:numPr>
              <w:tabs>
                <w:tab w:val="left" w:pos="540"/>
              </w:tabs>
              <w:spacing w:after="0" w:line="240" w:lineRule="auto"/>
              <w:ind w:left="720"/>
              <w:jc w:val="both"/>
              <w:rPr>
                <w:rFonts w:cstheme="minorHAnsi"/>
                <w:color w:val="000000" w:themeColor="text1"/>
              </w:rPr>
            </w:pPr>
            <w:r w:rsidRPr="00585F66">
              <w:rPr>
                <w:rFonts w:cstheme="minorHAnsi"/>
                <w:snapToGrid w:val="0"/>
                <w:color w:val="000000" w:themeColor="text1"/>
              </w:rPr>
              <w:t>Doubtful Debts and Advances (debts or advances overdue for more than three months or debts or advances given to the associate persons)</w:t>
            </w:r>
          </w:p>
        </w:tc>
        <w:tc>
          <w:tcPr>
            <w:tcW w:w="992" w:type="dxa"/>
            <w:shd w:val="clear" w:color="auto" w:fill="auto"/>
          </w:tcPr>
          <w:p w14:paraId="51D13689" w14:textId="77777777" w:rsidR="006716E9" w:rsidRPr="00585F66" w:rsidRDefault="006716E9" w:rsidP="004A0E53">
            <w:pPr>
              <w:pStyle w:val="Default"/>
              <w:jc w:val="both"/>
              <w:rPr>
                <w:rFonts w:asciiTheme="minorHAnsi" w:hAnsiTheme="minorHAnsi" w:cstheme="minorHAnsi"/>
                <w:color w:val="000000" w:themeColor="text1"/>
                <w:sz w:val="22"/>
                <w:szCs w:val="22"/>
              </w:rPr>
            </w:pPr>
          </w:p>
        </w:tc>
      </w:tr>
      <w:tr w:rsidR="00585F66" w:rsidRPr="00585F66" w14:paraId="325C90F1" w14:textId="77777777" w:rsidTr="0020746F">
        <w:tc>
          <w:tcPr>
            <w:tcW w:w="918" w:type="dxa"/>
            <w:shd w:val="clear" w:color="auto" w:fill="auto"/>
          </w:tcPr>
          <w:p w14:paraId="68A62001" w14:textId="77777777" w:rsidR="006716E9" w:rsidRPr="00585F66" w:rsidRDefault="006716E9" w:rsidP="004A0E53">
            <w:pPr>
              <w:tabs>
                <w:tab w:val="left" w:pos="540"/>
              </w:tabs>
              <w:spacing w:after="0" w:line="240" w:lineRule="auto"/>
              <w:ind w:left="360"/>
              <w:rPr>
                <w:rFonts w:cstheme="minorHAnsi"/>
                <w:snapToGrid w:val="0"/>
                <w:color w:val="000000" w:themeColor="text1"/>
              </w:rPr>
            </w:pPr>
          </w:p>
        </w:tc>
        <w:tc>
          <w:tcPr>
            <w:tcW w:w="7441" w:type="dxa"/>
            <w:shd w:val="clear" w:color="auto" w:fill="auto"/>
          </w:tcPr>
          <w:p w14:paraId="4826AA51" w14:textId="77777777" w:rsidR="006716E9" w:rsidRPr="00585F66" w:rsidRDefault="006716E9" w:rsidP="004A0E53">
            <w:pPr>
              <w:numPr>
                <w:ilvl w:val="0"/>
                <w:numId w:val="1"/>
              </w:numPr>
              <w:tabs>
                <w:tab w:val="left" w:pos="540"/>
              </w:tabs>
              <w:spacing w:after="0" w:line="240" w:lineRule="auto"/>
              <w:ind w:left="720"/>
              <w:jc w:val="both"/>
              <w:rPr>
                <w:rFonts w:cstheme="minorHAnsi"/>
                <w:color w:val="000000" w:themeColor="text1"/>
              </w:rPr>
            </w:pPr>
            <w:r w:rsidRPr="00585F66">
              <w:rPr>
                <w:rFonts w:cstheme="minorHAnsi"/>
                <w:snapToGrid w:val="0"/>
                <w:color w:val="000000" w:themeColor="text1"/>
              </w:rPr>
              <w:t>Prepaid expenses, losses</w:t>
            </w:r>
          </w:p>
        </w:tc>
        <w:tc>
          <w:tcPr>
            <w:tcW w:w="992" w:type="dxa"/>
            <w:shd w:val="clear" w:color="auto" w:fill="auto"/>
          </w:tcPr>
          <w:p w14:paraId="0E60CB1B" w14:textId="77777777" w:rsidR="006716E9" w:rsidRPr="00585F66" w:rsidRDefault="006716E9" w:rsidP="004A0E53">
            <w:pPr>
              <w:pStyle w:val="Default"/>
              <w:jc w:val="both"/>
              <w:rPr>
                <w:rFonts w:asciiTheme="minorHAnsi" w:hAnsiTheme="minorHAnsi" w:cstheme="minorHAnsi"/>
                <w:color w:val="000000" w:themeColor="text1"/>
                <w:sz w:val="22"/>
                <w:szCs w:val="22"/>
              </w:rPr>
            </w:pPr>
          </w:p>
        </w:tc>
      </w:tr>
      <w:tr w:rsidR="00585F66" w:rsidRPr="00585F66" w14:paraId="2CB8422D" w14:textId="77777777" w:rsidTr="0020746F">
        <w:tc>
          <w:tcPr>
            <w:tcW w:w="918" w:type="dxa"/>
            <w:shd w:val="clear" w:color="auto" w:fill="auto"/>
          </w:tcPr>
          <w:p w14:paraId="243147FE" w14:textId="77777777" w:rsidR="006716E9" w:rsidRPr="00585F66" w:rsidRDefault="006716E9" w:rsidP="004A0E53">
            <w:pPr>
              <w:tabs>
                <w:tab w:val="left" w:pos="540"/>
              </w:tabs>
              <w:spacing w:after="0" w:line="240" w:lineRule="auto"/>
              <w:ind w:left="360"/>
              <w:rPr>
                <w:rFonts w:cstheme="minorHAnsi"/>
                <w:snapToGrid w:val="0"/>
                <w:color w:val="000000" w:themeColor="text1"/>
              </w:rPr>
            </w:pPr>
          </w:p>
        </w:tc>
        <w:tc>
          <w:tcPr>
            <w:tcW w:w="7441" w:type="dxa"/>
            <w:shd w:val="clear" w:color="auto" w:fill="auto"/>
          </w:tcPr>
          <w:p w14:paraId="11A397F8" w14:textId="77777777" w:rsidR="006716E9" w:rsidRPr="00585F66" w:rsidRDefault="006716E9" w:rsidP="004A0E53">
            <w:pPr>
              <w:numPr>
                <w:ilvl w:val="0"/>
                <w:numId w:val="1"/>
              </w:numPr>
              <w:tabs>
                <w:tab w:val="left" w:pos="540"/>
              </w:tabs>
              <w:spacing w:after="0" w:line="240" w:lineRule="auto"/>
              <w:ind w:left="720"/>
              <w:jc w:val="both"/>
              <w:rPr>
                <w:rFonts w:cstheme="minorHAnsi"/>
                <w:color w:val="000000" w:themeColor="text1"/>
              </w:rPr>
            </w:pPr>
            <w:r w:rsidRPr="00585F66">
              <w:rPr>
                <w:rFonts w:cstheme="minorHAnsi"/>
                <w:snapToGrid w:val="0"/>
                <w:color w:val="000000" w:themeColor="text1"/>
              </w:rPr>
              <w:t>Intangible Assets</w:t>
            </w:r>
          </w:p>
        </w:tc>
        <w:tc>
          <w:tcPr>
            <w:tcW w:w="992" w:type="dxa"/>
            <w:shd w:val="clear" w:color="auto" w:fill="auto"/>
          </w:tcPr>
          <w:p w14:paraId="4C09BD84" w14:textId="77777777" w:rsidR="006716E9" w:rsidRPr="00585F66" w:rsidRDefault="006716E9" w:rsidP="004A0E53">
            <w:pPr>
              <w:pStyle w:val="Default"/>
              <w:jc w:val="both"/>
              <w:rPr>
                <w:rFonts w:asciiTheme="minorHAnsi" w:hAnsiTheme="minorHAnsi" w:cstheme="minorHAnsi"/>
                <w:color w:val="000000" w:themeColor="text1"/>
                <w:sz w:val="22"/>
                <w:szCs w:val="22"/>
              </w:rPr>
            </w:pPr>
          </w:p>
        </w:tc>
      </w:tr>
      <w:tr w:rsidR="00585F66" w:rsidRPr="00585F66" w14:paraId="15804BFF" w14:textId="77777777" w:rsidTr="0020746F">
        <w:trPr>
          <w:trHeight w:val="201"/>
        </w:trPr>
        <w:tc>
          <w:tcPr>
            <w:tcW w:w="918" w:type="dxa"/>
            <w:shd w:val="clear" w:color="auto" w:fill="auto"/>
          </w:tcPr>
          <w:p w14:paraId="33CF8E4B" w14:textId="77777777" w:rsidR="006716E9" w:rsidRPr="00585F66" w:rsidRDefault="006716E9" w:rsidP="004A0E53">
            <w:pPr>
              <w:tabs>
                <w:tab w:val="left" w:pos="540"/>
              </w:tabs>
              <w:spacing w:after="0" w:line="240" w:lineRule="auto"/>
              <w:ind w:left="360"/>
              <w:rPr>
                <w:rFonts w:cstheme="minorHAnsi"/>
                <w:snapToGrid w:val="0"/>
                <w:color w:val="000000" w:themeColor="text1"/>
              </w:rPr>
            </w:pPr>
          </w:p>
        </w:tc>
        <w:tc>
          <w:tcPr>
            <w:tcW w:w="7441" w:type="dxa"/>
            <w:shd w:val="clear" w:color="auto" w:fill="auto"/>
          </w:tcPr>
          <w:p w14:paraId="3C9293D6" w14:textId="77777777" w:rsidR="006716E9" w:rsidRPr="00585F66" w:rsidRDefault="006716E9" w:rsidP="004A0E53">
            <w:pPr>
              <w:numPr>
                <w:ilvl w:val="0"/>
                <w:numId w:val="1"/>
              </w:numPr>
              <w:tabs>
                <w:tab w:val="left" w:pos="540"/>
              </w:tabs>
              <w:spacing w:after="0" w:line="240" w:lineRule="auto"/>
              <w:ind w:left="720"/>
              <w:jc w:val="both"/>
              <w:rPr>
                <w:rFonts w:cstheme="minorHAnsi"/>
                <w:snapToGrid w:val="0"/>
                <w:color w:val="000000" w:themeColor="text1"/>
              </w:rPr>
            </w:pPr>
            <w:r w:rsidRPr="00585F66">
              <w:rPr>
                <w:rFonts w:cstheme="minorHAnsi"/>
                <w:snapToGrid w:val="0"/>
                <w:color w:val="000000" w:themeColor="text1"/>
              </w:rPr>
              <w:t>30% Value of Marketable securities</w:t>
            </w:r>
          </w:p>
        </w:tc>
        <w:tc>
          <w:tcPr>
            <w:tcW w:w="992" w:type="dxa"/>
            <w:shd w:val="clear" w:color="auto" w:fill="auto"/>
          </w:tcPr>
          <w:p w14:paraId="5E3E423F" w14:textId="77777777" w:rsidR="006716E9" w:rsidRPr="00585F66" w:rsidRDefault="006716E9" w:rsidP="004A0E53">
            <w:pPr>
              <w:pStyle w:val="Default"/>
              <w:jc w:val="both"/>
              <w:rPr>
                <w:rFonts w:asciiTheme="minorHAnsi" w:hAnsiTheme="minorHAnsi" w:cstheme="minorHAnsi"/>
                <w:color w:val="000000" w:themeColor="text1"/>
                <w:sz w:val="22"/>
                <w:szCs w:val="22"/>
              </w:rPr>
            </w:pPr>
          </w:p>
        </w:tc>
      </w:tr>
      <w:tr w:rsidR="006716E9" w:rsidRPr="00585F66" w14:paraId="30EA9B16" w14:textId="77777777" w:rsidTr="0020746F">
        <w:tc>
          <w:tcPr>
            <w:tcW w:w="918" w:type="dxa"/>
            <w:shd w:val="clear" w:color="auto" w:fill="auto"/>
          </w:tcPr>
          <w:p w14:paraId="75F038B2" w14:textId="77777777" w:rsidR="006716E9" w:rsidRPr="00585F66" w:rsidRDefault="006716E9" w:rsidP="004A0E53">
            <w:pPr>
              <w:numPr>
                <w:ilvl w:val="0"/>
                <w:numId w:val="2"/>
              </w:numPr>
              <w:tabs>
                <w:tab w:val="left" w:pos="540"/>
              </w:tabs>
              <w:spacing w:after="0" w:line="240" w:lineRule="auto"/>
              <w:rPr>
                <w:rFonts w:cstheme="minorHAnsi"/>
                <w:b/>
                <w:snapToGrid w:val="0"/>
                <w:color w:val="000000" w:themeColor="text1"/>
              </w:rPr>
            </w:pPr>
          </w:p>
        </w:tc>
        <w:tc>
          <w:tcPr>
            <w:tcW w:w="7441" w:type="dxa"/>
            <w:shd w:val="clear" w:color="auto" w:fill="auto"/>
          </w:tcPr>
          <w:p w14:paraId="1BBBF44F" w14:textId="77777777" w:rsidR="006716E9" w:rsidRPr="00585F66" w:rsidRDefault="006716E9" w:rsidP="004A0E53">
            <w:pPr>
              <w:tabs>
                <w:tab w:val="left" w:pos="540"/>
              </w:tabs>
              <w:spacing w:line="240" w:lineRule="auto"/>
              <w:jc w:val="both"/>
              <w:rPr>
                <w:rFonts w:cstheme="minorHAnsi"/>
                <w:b/>
                <w:snapToGrid w:val="0"/>
                <w:color w:val="000000" w:themeColor="text1"/>
              </w:rPr>
            </w:pPr>
            <w:r w:rsidRPr="00585F66">
              <w:rPr>
                <w:rFonts w:cstheme="minorHAnsi"/>
                <w:b/>
                <w:snapToGrid w:val="0"/>
                <w:color w:val="000000" w:themeColor="text1"/>
              </w:rPr>
              <w:t>Total Amount (A + B - C)</w:t>
            </w:r>
          </w:p>
        </w:tc>
        <w:tc>
          <w:tcPr>
            <w:tcW w:w="992" w:type="dxa"/>
            <w:shd w:val="clear" w:color="auto" w:fill="auto"/>
          </w:tcPr>
          <w:p w14:paraId="1498470E" w14:textId="77777777" w:rsidR="006716E9" w:rsidRPr="00585F66" w:rsidRDefault="006716E9" w:rsidP="004A0E53">
            <w:pPr>
              <w:pStyle w:val="Default"/>
              <w:jc w:val="both"/>
              <w:rPr>
                <w:rFonts w:asciiTheme="minorHAnsi" w:hAnsiTheme="minorHAnsi" w:cstheme="minorHAnsi"/>
                <w:b/>
                <w:color w:val="000000" w:themeColor="text1"/>
                <w:sz w:val="22"/>
                <w:szCs w:val="22"/>
              </w:rPr>
            </w:pPr>
          </w:p>
        </w:tc>
      </w:tr>
    </w:tbl>
    <w:p w14:paraId="334C5AE8" w14:textId="77777777" w:rsidR="006716E9" w:rsidRPr="00585F66" w:rsidRDefault="006716E9" w:rsidP="006716E9">
      <w:pPr>
        <w:pStyle w:val="Default"/>
        <w:rPr>
          <w:rFonts w:asciiTheme="minorHAnsi" w:hAnsiTheme="minorHAnsi" w:cstheme="minorHAnsi"/>
          <w:color w:val="000000" w:themeColor="text1"/>
          <w:sz w:val="22"/>
          <w:szCs w:val="22"/>
        </w:rPr>
      </w:pPr>
    </w:p>
    <w:p w14:paraId="13484DCD" w14:textId="77777777" w:rsidR="00F74189" w:rsidRPr="00585F66" w:rsidRDefault="00F74189" w:rsidP="00F74189">
      <w:pPr>
        <w:pStyle w:val="Default"/>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 xml:space="preserve">Date: </w:t>
      </w:r>
      <w:r w:rsidRPr="00585F66">
        <w:rPr>
          <w:rFonts w:asciiTheme="minorHAnsi" w:hAnsiTheme="minorHAnsi" w:cstheme="minorHAnsi"/>
          <w:color w:val="000000" w:themeColor="text1"/>
          <w:sz w:val="22"/>
          <w:szCs w:val="22"/>
        </w:rPr>
        <w:tab/>
      </w:r>
      <w:r w:rsidRPr="00585F66">
        <w:rPr>
          <w:rFonts w:asciiTheme="minorHAnsi" w:hAnsiTheme="minorHAnsi" w:cstheme="minorHAnsi"/>
          <w:color w:val="000000" w:themeColor="text1"/>
          <w:sz w:val="22"/>
          <w:szCs w:val="22"/>
        </w:rPr>
        <w:tab/>
      </w:r>
      <w:r w:rsidRPr="00585F66">
        <w:rPr>
          <w:rFonts w:asciiTheme="minorHAnsi" w:hAnsiTheme="minorHAnsi" w:cstheme="minorHAnsi"/>
          <w:color w:val="000000" w:themeColor="text1"/>
          <w:sz w:val="22"/>
          <w:szCs w:val="22"/>
        </w:rPr>
        <w:tab/>
      </w:r>
      <w:r w:rsidRPr="00585F66">
        <w:rPr>
          <w:rFonts w:asciiTheme="minorHAnsi" w:hAnsiTheme="minorHAnsi" w:cstheme="minorHAnsi"/>
          <w:color w:val="000000" w:themeColor="text1"/>
          <w:sz w:val="22"/>
          <w:szCs w:val="22"/>
        </w:rPr>
        <w:tab/>
      </w:r>
      <w:r w:rsidRPr="00585F66">
        <w:rPr>
          <w:rFonts w:asciiTheme="minorHAnsi" w:hAnsiTheme="minorHAnsi" w:cstheme="minorHAnsi"/>
          <w:color w:val="000000" w:themeColor="text1"/>
          <w:sz w:val="22"/>
          <w:szCs w:val="22"/>
        </w:rPr>
        <w:tab/>
      </w:r>
      <w:r w:rsidRPr="00585F66">
        <w:rPr>
          <w:rFonts w:asciiTheme="minorHAnsi" w:hAnsiTheme="minorHAnsi" w:cstheme="minorHAnsi"/>
          <w:color w:val="000000" w:themeColor="text1"/>
          <w:sz w:val="22"/>
          <w:szCs w:val="22"/>
        </w:rPr>
        <w:tab/>
        <w:t xml:space="preserve">   </w:t>
      </w:r>
      <w:r w:rsidR="00253EFE" w:rsidRPr="00585F66">
        <w:rPr>
          <w:rFonts w:asciiTheme="minorHAnsi" w:hAnsiTheme="minorHAnsi" w:cstheme="minorHAnsi"/>
          <w:color w:val="000000" w:themeColor="text1"/>
          <w:sz w:val="22"/>
          <w:szCs w:val="22"/>
        </w:rPr>
        <w:tab/>
      </w:r>
      <w:r w:rsidRPr="00585F66">
        <w:rPr>
          <w:rFonts w:asciiTheme="minorHAnsi" w:hAnsiTheme="minorHAnsi" w:cstheme="minorHAnsi"/>
          <w:color w:val="000000" w:themeColor="text1"/>
          <w:sz w:val="22"/>
          <w:szCs w:val="22"/>
        </w:rPr>
        <w:t>For (Name of Certifying Firm)</w:t>
      </w:r>
      <w:r w:rsidRPr="00585F66">
        <w:rPr>
          <w:rFonts w:asciiTheme="minorHAnsi" w:hAnsiTheme="minorHAnsi" w:cstheme="minorHAnsi"/>
          <w:color w:val="000000" w:themeColor="text1"/>
          <w:sz w:val="22"/>
          <w:szCs w:val="22"/>
        </w:rPr>
        <w:tab/>
      </w:r>
    </w:p>
    <w:p w14:paraId="57DD6AF1" w14:textId="77777777" w:rsidR="00F74189" w:rsidRPr="00585F66" w:rsidRDefault="00F74189" w:rsidP="00F74189">
      <w:pPr>
        <w:autoSpaceDE w:val="0"/>
        <w:autoSpaceDN w:val="0"/>
        <w:adjustRightInd w:val="0"/>
        <w:spacing w:after="0" w:line="240" w:lineRule="auto"/>
        <w:rPr>
          <w:rFonts w:cstheme="minorHAnsi"/>
          <w:color w:val="000000" w:themeColor="text1"/>
        </w:rPr>
      </w:pPr>
      <w:r w:rsidRPr="00585F66">
        <w:rPr>
          <w:rFonts w:cstheme="minorHAnsi"/>
          <w:color w:val="000000" w:themeColor="text1"/>
        </w:rPr>
        <w:t xml:space="preserve">Place:                                                                               </w:t>
      </w:r>
      <w:r w:rsidR="00253EFE" w:rsidRPr="00585F66">
        <w:rPr>
          <w:rFonts w:cstheme="minorHAnsi"/>
          <w:color w:val="000000" w:themeColor="text1"/>
        </w:rPr>
        <w:tab/>
      </w:r>
      <w:r w:rsidRPr="00585F66">
        <w:rPr>
          <w:rFonts w:cstheme="minorHAnsi"/>
          <w:color w:val="000000" w:themeColor="text1"/>
        </w:rPr>
        <w:t>Name of Partner / Proprietor</w:t>
      </w:r>
    </w:p>
    <w:p w14:paraId="645C859A" w14:textId="5197F6BE" w:rsidR="00F74189" w:rsidRPr="00585F66" w:rsidRDefault="00F74189" w:rsidP="00253EFE">
      <w:pPr>
        <w:spacing w:after="0"/>
        <w:ind w:left="5040" w:right="26"/>
        <w:rPr>
          <w:rFonts w:cstheme="minorHAnsi"/>
          <w:color w:val="000000" w:themeColor="text1"/>
        </w:rPr>
      </w:pPr>
      <w:r w:rsidRPr="00585F66">
        <w:rPr>
          <w:rFonts w:cstheme="minorHAnsi"/>
          <w:b/>
          <w:color w:val="000000" w:themeColor="text1"/>
        </w:rPr>
        <w:t>Chartered Accountant / Company Secretary (In Practice)</w:t>
      </w:r>
      <w:r w:rsidRPr="00585F66">
        <w:rPr>
          <w:rFonts w:cstheme="minorHAnsi"/>
          <w:color w:val="000000" w:themeColor="text1"/>
        </w:rPr>
        <w:t xml:space="preserve">                                                                                                                                                  Membership No.:____________</w:t>
      </w:r>
      <w:r w:rsidR="00CB4F68" w:rsidRPr="00585F66">
        <w:rPr>
          <w:rFonts w:cstheme="minorHAnsi"/>
          <w:color w:val="000000" w:themeColor="text1"/>
        </w:rPr>
        <w:t>____</w:t>
      </w:r>
    </w:p>
    <w:p w14:paraId="4C7E4DEB" w14:textId="6B850242" w:rsidR="00F74189" w:rsidRPr="00585F66" w:rsidRDefault="00F74189" w:rsidP="00253EFE">
      <w:pPr>
        <w:spacing w:after="0"/>
        <w:ind w:left="4320" w:right="26" w:firstLine="720"/>
        <w:rPr>
          <w:rFonts w:cstheme="minorHAnsi"/>
          <w:color w:val="000000" w:themeColor="text1"/>
        </w:rPr>
      </w:pPr>
      <w:r w:rsidRPr="00585F66">
        <w:rPr>
          <w:rFonts w:cstheme="minorHAnsi"/>
          <w:color w:val="000000" w:themeColor="text1"/>
        </w:rPr>
        <w:t>UDIN</w:t>
      </w:r>
      <w:proofErr w:type="gramStart"/>
      <w:r w:rsidRPr="00585F66">
        <w:rPr>
          <w:rFonts w:cstheme="minorHAnsi"/>
          <w:color w:val="000000" w:themeColor="text1"/>
        </w:rPr>
        <w:t>:_</w:t>
      </w:r>
      <w:proofErr w:type="gramEnd"/>
      <w:r w:rsidRPr="00585F66">
        <w:rPr>
          <w:rFonts w:cstheme="minorHAnsi"/>
          <w:color w:val="000000" w:themeColor="text1"/>
        </w:rPr>
        <w:t>_____________________</w:t>
      </w:r>
      <w:r w:rsidR="00CB4F68" w:rsidRPr="00585F66">
        <w:rPr>
          <w:rFonts w:cstheme="minorHAnsi"/>
          <w:color w:val="000000" w:themeColor="text1"/>
        </w:rPr>
        <w:t>____</w:t>
      </w:r>
    </w:p>
    <w:p w14:paraId="24801C92" w14:textId="77777777" w:rsidR="00B81F65" w:rsidRPr="00585F66" w:rsidRDefault="00F74189" w:rsidP="00253EFE">
      <w:pPr>
        <w:ind w:left="4320" w:firstLine="720"/>
        <w:rPr>
          <w:rFonts w:cstheme="minorHAnsi"/>
          <w:color w:val="000000" w:themeColor="text1"/>
        </w:rPr>
      </w:pPr>
      <w:r w:rsidRPr="00585F66">
        <w:rPr>
          <w:rFonts w:cstheme="minorHAnsi"/>
          <w:color w:val="000000" w:themeColor="text1"/>
        </w:rPr>
        <w:t>Signature under Rubber stamp of Firm</w:t>
      </w:r>
    </w:p>
    <w:p w14:paraId="61D4CB9A" w14:textId="77777777" w:rsidR="00147DF7" w:rsidRPr="00585F66" w:rsidRDefault="00147DF7" w:rsidP="00253EFE">
      <w:pPr>
        <w:ind w:left="4320" w:firstLine="720"/>
        <w:rPr>
          <w:rFonts w:cstheme="minorHAnsi"/>
          <w:color w:val="000000" w:themeColor="text1"/>
        </w:rPr>
      </w:pPr>
    </w:p>
    <w:p w14:paraId="3B93C67C" w14:textId="77777777" w:rsidR="00147DF7" w:rsidRPr="00585F66" w:rsidRDefault="00147DF7" w:rsidP="00253EFE">
      <w:pPr>
        <w:ind w:left="4320" w:firstLine="720"/>
        <w:rPr>
          <w:rFonts w:cstheme="minorHAnsi"/>
          <w:color w:val="000000" w:themeColor="text1"/>
        </w:rPr>
      </w:pPr>
    </w:p>
    <w:p w14:paraId="2F326055" w14:textId="77777777" w:rsidR="009D7A3B" w:rsidRPr="00585F66" w:rsidRDefault="009D7A3B" w:rsidP="00253EFE">
      <w:pPr>
        <w:ind w:left="4320" w:firstLine="720"/>
        <w:rPr>
          <w:rFonts w:cstheme="minorHAnsi"/>
          <w:color w:val="000000" w:themeColor="text1"/>
        </w:rPr>
      </w:pPr>
    </w:p>
    <w:p w14:paraId="1FF71914" w14:textId="1E214F86" w:rsidR="00147DF7" w:rsidRPr="00585F66" w:rsidRDefault="00147DF7" w:rsidP="00147DF7">
      <w:pPr>
        <w:ind w:left="4320" w:firstLine="720"/>
        <w:jc w:val="right"/>
        <w:rPr>
          <w:rFonts w:cstheme="minorHAnsi"/>
          <w:b/>
          <w:color w:val="000000" w:themeColor="text1"/>
        </w:rPr>
      </w:pPr>
      <w:bookmarkStart w:id="1" w:name="_GoBack"/>
      <w:bookmarkEnd w:id="1"/>
      <w:r w:rsidRPr="00585F66">
        <w:rPr>
          <w:rFonts w:cstheme="minorHAnsi"/>
          <w:b/>
          <w:color w:val="000000" w:themeColor="text1"/>
        </w:rPr>
        <w:lastRenderedPageBreak/>
        <w:t xml:space="preserve">Annexure 1a </w:t>
      </w:r>
    </w:p>
    <w:p w14:paraId="6589CD5C" w14:textId="77777777" w:rsidR="00147DF7" w:rsidRPr="00585F66" w:rsidRDefault="00147DF7" w:rsidP="00147DF7">
      <w:pPr>
        <w:pStyle w:val="NormalWeb"/>
        <w:ind w:left="-284"/>
        <w:jc w:val="both"/>
        <w:rPr>
          <w:rFonts w:asciiTheme="minorHAnsi" w:hAnsiTheme="minorHAnsi" w:cstheme="minorHAnsi"/>
          <w:b/>
          <w:bCs/>
          <w:color w:val="000000" w:themeColor="text1"/>
          <w:sz w:val="22"/>
          <w:szCs w:val="22"/>
          <w:u w:val="single"/>
        </w:rPr>
      </w:pPr>
      <w:r w:rsidRPr="00585F66">
        <w:rPr>
          <w:rFonts w:asciiTheme="minorHAnsi" w:hAnsiTheme="minorHAnsi" w:cstheme="minorHAnsi"/>
          <w:b/>
          <w:bCs/>
          <w:color w:val="000000" w:themeColor="text1"/>
          <w:sz w:val="22"/>
          <w:szCs w:val="22"/>
          <w:u w:val="single"/>
        </w:rPr>
        <w:t>CLARIFICATION - METHOD OF COMPUTATION OF NETWORTH AS PER DR. LC GUPTA FORMULA</w:t>
      </w:r>
    </w:p>
    <w:p w14:paraId="72982BFE" w14:textId="77777777" w:rsidR="00147DF7" w:rsidRPr="00585F66" w:rsidRDefault="00147DF7" w:rsidP="00147DF7">
      <w:pPr>
        <w:pStyle w:val="NormalWeb"/>
        <w:ind w:left="-284"/>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A) Share Capital + Free Reserves</w:t>
      </w:r>
    </w:p>
    <w:tbl>
      <w:tblPr>
        <w:tblStyle w:val="TableGrid"/>
        <w:tblW w:w="9923" w:type="dxa"/>
        <w:tblInd w:w="-147" w:type="dxa"/>
        <w:tblLook w:val="04A0" w:firstRow="1" w:lastRow="0" w:firstColumn="1" w:lastColumn="0" w:noHBand="0" w:noVBand="1"/>
      </w:tblPr>
      <w:tblGrid>
        <w:gridCol w:w="821"/>
        <w:gridCol w:w="1731"/>
        <w:gridCol w:w="7371"/>
      </w:tblGrid>
      <w:tr w:rsidR="00585F66" w:rsidRPr="00585F66" w14:paraId="43B30209" w14:textId="77777777" w:rsidTr="006579DA">
        <w:tc>
          <w:tcPr>
            <w:tcW w:w="821" w:type="dxa"/>
            <w:vAlign w:val="center"/>
          </w:tcPr>
          <w:p w14:paraId="52DCACDA" w14:textId="7682BD6B" w:rsidR="00147DF7" w:rsidRPr="00585F66" w:rsidRDefault="00147DF7" w:rsidP="006579DA">
            <w:pPr>
              <w:pStyle w:val="NormalWeb"/>
              <w:jc w:val="center"/>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S</w:t>
            </w:r>
            <w:r w:rsidR="006579DA">
              <w:rPr>
                <w:rFonts w:asciiTheme="minorHAnsi" w:hAnsiTheme="minorHAnsi" w:cstheme="minorHAnsi"/>
                <w:b/>
                <w:bCs/>
                <w:color w:val="000000" w:themeColor="text1"/>
                <w:sz w:val="22"/>
                <w:szCs w:val="22"/>
              </w:rPr>
              <w:t>r</w:t>
            </w:r>
            <w:r w:rsidRPr="00585F66">
              <w:rPr>
                <w:rFonts w:asciiTheme="minorHAnsi" w:hAnsiTheme="minorHAnsi" w:cstheme="minorHAnsi"/>
                <w:b/>
                <w:bCs/>
                <w:color w:val="000000" w:themeColor="text1"/>
                <w:sz w:val="22"/>
                <w:szCs w:val="22"/>
              </w:rPr>
              <w:t>.</w:t>
            </w:r>
            <w:r w:rsidR="006579DA">
              <w:rPr>
                <w:rFonts w:asciiTheme="minorHAnsi" w:hAnsiTheme="minorHAnsi" w:cstheme="minorHAnsi"/>
                <w:b/>
                <w:bCs/>
                <w:color w:val="000000" w:themeColor="text1"/>
                <w:sz w:val="22"/>
                <w:szCs w:val="22"/>
              </w:rPr>
              <w:t xml:space="preserve"> </w:t>
            </w:r>
            <w:r w:rsidRPr="00585F66">
              <w:rPr>
                <w:rFonts w:asciiTheme="minorHAnsi" w:hAnsiTheme="minorHAnsi" w:cstheme="minorHAnsi"/>
                <w:b/>
                <w:bCs/>
                <w:color w:val="000000" w:themeColor="text1"/>
                <w:sz w:val="22"/>
                <w:szCs w:val="22"/>
              </w:rPr>
              <w:t>No.</w:t>
            </w:r>
          </w:p>
        </w:tc>
        <w:tc>
          <w:tcPr>
            <w:tcW w:w="1731" w:type="dxa"/>
            <w:vAlign w:val="center"/>
          </w:tcPr>
          <w:p w14:paraId="76E01184" w14:textId="10A9AE68" w:rsidR="00147DF7" w:rsidRPr="00585F66" w:rsidRDefault="00147DF7" w:rsidP="006579DA">
            <w:pPr>
              <w:pStyle w:val="NormalWeb"/>
              <w:jc w:val="center"/>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Components of Net worth</w:t>
            </w:r>
          </w:p>
        </w:tc>
        <w:tc>
          <w:tcPr>
            <w:tcW w:w="7371" w:type="dxa"/>
            <w:vAlign w:val="center"/>
          </w:tcPr>
          <w:p w14:paraId="0D0CEB7E" w14:textId="77777777" w:rsidR="00147DF7" w:rsidRPr="00585F66" w:rsidRDefault="00147DF7" w:rsidP="006579DA">
            <w:pPr>
              <w:pStyle w:val="NormalWeb"/>
              <w:jc w:val="center"/>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Remarks</w:t>
            </w:r>
          </w:p>
        </w:tc>
      </w:tr>
      <w:tr w:rsidR="00585F66" w:rsidRPr="00585F66" w14:paraId="32408F7A" w14:textId="77777777" w:rsidTr="00147DF7">
        <w:tc>
          <w:tcPr>
            <w:tcW w:w="821" w:type="dxa"/>
          </w:tcPr>
          <w:p w14:paraId="4561F520"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1</w:t>
            </w:r>
          </w:p>
        </w:tc>
        <w:tc>
          <w:tcPr>
            <w:tcW w:w="1731" w:type="dxa"/>
          </w:tcPr>
          <w:p w14:paraId="5A05AF01"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b/>
                <w:color w:val="000000" w:themeColor="text1"/>
                <w:sz w:val="22"/>
                <w:szCs w:val="22"/>
              </w:rPr>
              <w:t>Share Capital</w:t>
            </w:r>
          </w:p>
        </w:tc>
        <w:tc>
          <w:tcPr>
            <w:tcW w:w="7371" w:type="dxa"/>
          </w:tcPr>
          <w:p w14:paraId="2717A629"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This element shall include:-</w:t>
            </w:r>
          </w:p>
          <w:p w14:paraId="514E42D8" w14:textId="77777777" w:rsidR="00147DF7" w:rsidRPr="00585F66" w:rsidRDefault="00147DF7" w:rsidP="00147DF7">
            <w:pPr>
              <w:pStyle w:val="NormalWeb"/>
              <w:numPr>
                <w:ilvl w:val="0"/>
                <w:numId w:val="35"/>
              </w:numPr>
              <w:spacing w:before="0" w:beforeAutospacing="0" w:after="0" w:afterAutospacing="0"/>
              <w:ind w:left="168" w:hanging="18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Paid-up equity share capital of the member.</w:t>
            </w:r>
          </w:p>
          <w:p w14:paraId="42672B0A" w14:textId="77777777" w:rsidR="00147DF7" w:rsidRPr="00585F66" w:rsidRDefault="00147DF7" w:rsidP="00147DF7">
            <w:pPr>
              <w:pStyle w:val="NormalWeb"/>
              <w:numPr>
                <w:ilvl w:val="0"/>
                <w:numId w:val="35"/>
              </w:numPr>
              <w:spacing w:after="0" w:afterAutospacing="0"/>
              <w:ind w:left="168" w:hanging="18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Paid-up Preference share capital of the member.</w:t>
            </w:r>
          </w:p>
          <w:p w14:paraId="2CB18B7A" w14:textId="38FBE7DE" w:rsidR="00147DF7" w:rsidRPr="006579DA" w:rsidRDefault="00147DF7" w:rsidP="006579DA">
            <w:pPr>
              <w:pStyle w:val="NormalWeb"/>
              <w:spacing w:before="0" w:beforeAutospacing="0" w:after="0" w:afterAutospacing="0"/>
              <w:ind w:left="168"/>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Fully, compulsorily &amp; mandatorily convertible debentures /Bonds/warrants which are convertible within a period of 10 years from the date of issue</w:t>
            </w:r>
            <w:r w:rsidR="006579DA">
              <w:rPr>
                <w:rFonts w:asciiTheme="minorHAnsi" w:hAnsiTheme="minorHAnsi" w:cstheme="minorHAnsi"/>
                <w:color w:val="000000" w:themeColor="text1"/>
                <w:sz w:val="22"/>
                <w:szCs w:val="22"/>
              </w:rPr>
              <w:t xml:space="preserve"> </w:t>
            </w:r>
            <w:r w:rsidRPr="006579DA">
              <w:rPr>
                <w:rFonts w:asciiTheme="minorHAnsi" w:hAnsiTheme="minorHAnsi" w:cstheme="minorHAnsi"/>
                <w:color w:val="000000" w:themeColor="text1"/>
                <w:sz w:val="22"/>
                <w:szCs w:val="22"/>
              </w:rPr>
              <w:t>Share application money</w:t>
            </w:r>
            <w:r w:rsidR="00054247" w:rsidRPr="006579DA">
              <w:rPr>
                <w:rFonts w:asciiTheme="minorHAnsi" w:hAnsiTheme="minorHAnsi" w:cstheme="minorHAnsi"/>
                <w:color w:val="000000" w:themeColor="text1"/>
                <w:sz w:val="22"/>
                <w:szCs w:val="22"/>
              </w:rPr>
              <w:t xml:space="preserve"> </w:t>
            </w:r>
            <w:r w:rsidR="00054247" w:rsidRPr="00585F66">
              <w:rPr>
                <w:rFonts w:asciiTheme="minorHAnsi" w:hAnsiTheme="minorHAnsi" w:cstheme="minorHAnsi"/>
                <w:color w:val="000000" w:themeColor="text1"/>
                <w:sz w:val="22"/>
                <w:szCs w:val="22"/>
              </w:rPr>
              <w:t xml:space="preserve">/ </w:t>
            </w:r>
            <w:r w:rsidRPr="00585F66">
              <w:rPr>
                <w:rFonts w:asciiTheme="minorHAnsi" w:hAnsiTheme="minorHAnsi" w:cstheme="minorHAnsi"/>
                <w:color w:val="000000" w:themeColor="text1"/>
                <w:sz w:val="22"/>
                <w:szCs w:val="22"/>
              </w:rPr>
              <w:t>Loans from partners / directors / promoters will not be considered as share capital.</w:t>
            </w:r>
          </w:p>
        </w:tc>
      </w:tr>
      <w:tr w:rsidR="00585F66" w:rsidRPr="00585F66" w14:paraId="3B0C69A2" w14:textId="77777777" w:rsidTr="00147DF7">
        <w:trPr>
          <w:trHeight w:val="806"/>
        </w:trPr>
        <w:tc>
          <w:tcPr>
            <w:tcW w:w="821" w:type="dxa"/>
            <w:tcBorders>
              <w:bottom w:val="single" w:sz="4" w:space="0" w:color="auto"/>
            </w:tcBorders>
          </w:tcPr>
          <w:p w14:paraId="71CD1216"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2</w:t>
            </w:r>
          </w:p>
        </w:tc>
        <w:tc>
          <w:tcPr>
            <w:tcW w:w="1731" w:type="dxa"/>
            <w:tcBorders>
              <w:bottom w:val="single" w:sz="4" w:space="0" w:color="auto"/>
            </w:tcBorders>
          </w:tcPr>
          <w:p w14:paraId="633BBCDE"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b/>
                <w:color w:val="000000" w:themeColor="text1"/>
                <w:sz w:val="22"/>
                <w:szCs w:val="22"/>
              </w:rPr>
              <w:t>Free Reserves</w:t>
            </w:r>
          </w:p>
        </w:tc>
        <w:tc>
          <w:tcPr>
            <w:tcW w:w="7371" w:type="dxa"/>
            <w:tcBorders>
              <w:bottom w:val="single" w:sz="4" w:space="0" w:color="auto"/>
            </w:tcBorders>
          </w:tcPr>
          <w:p w14:paraId="05C979A0" w14:textId="77777777" w:rsidR="00147DF7" w:rsidRPr="00585F66" w:rsidRDefault="00147DF7" w:rsidP="00C91F16">
            <w:pPr>
              <w:pStyle w:val="NoSpacing"/>
            </w:pPr>
            <w:r w:rsidRPr="00585F66">
              <w:t>As per Sec. 2(43) of the Companies Act, 2013, free reserves mean such reserves which, as per the latest audited balance sheet of a company, are available for distribution as dividend:</w:t>
            </w:r>
          </w:p>
          <w:p w14:paraId="40F665B7" w14:textId="77777777" w:rsidR="00C91F16" w:rsidRPr="00C91F16" w:rsidRDefault="00C91F16" w:rsidP="00147DF7">
            <w:pPr>
              <w:pStyle w:val="NormalWeb"/>
              <w:spacing w:before="0" w:beforeAutospacing="0" w:after="0" w:afterAutospacing="0"/>
              <w:jc w:val="both"/>
              <w:rPr>
                <w:rFonts w:asciiTheme="minorHAnsi" w:hAnsiTheme="minorHAnsi" w:cstheme="minorHAnsi"/>
                <w:color w:val="000000" w:themeColor="text1"/>
                <w:sz w:val="14"/>
                <w:szCs w:val="22"/>
              </w:rPr>
            </w:pPr>
          </w:p>
          <w:p w14:paraId="1D4BB4F6"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Provided that—</w:t>
            </w:r>
          </w:p>
          <w:p w14:paraId="7C69FFEE"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w:t>
            </w:r>
            <w:proofErr w:type="spellStart"/>
            <w:r w:rsidRPr="00585F66">
              <w:rPr>
                <w:rFonts w:asciiTheme="minorHAnsi" w:hAnsiTheme="minorHAnsi" w:cstheme="minorHAnsi"/>
                <w:color w:val="000000" w:themeColor="text1"/>
                <w:sz w:val="22"/>
                <w:szCs w:val="22"/>
              </w:rPr>
              <w:t>i</w:t>
            </w:r>
            <w:proofErr w:type="spellEnd"/>
            <w:r w:rsidRPr="00585F66">
              <w:rPr>
                <w:rFonts w:asciiTheme="minorHAnsi" w:hAnsiTheme="minorHAnsi" w:cstheme="minorHAnsi"/>
                <w:color w:val="000000" w:themeColor="text1"/>
                <w:sz w:val="22"/>
                <w:szCs w:val="22"/>
              </w:rPr>
              <w:t xml:space="preserve">) any amount representing </w:t>
            </w:r>
            <w:proofErr w:type="spellStart"/>
            <w:r w:rsidRPr="00585F66">
              <w:rPr>
                <w:rFonts w:asciiTheme="minorHAnsi" w:hAnsiTheme="minorHAnsi" w:cstheme="minorHAnsi"/>
                <w:color w:val="000000" w:themeColor="text1"/>
                <w:sz w:val="22"/>
                <w:szCs w:val="22"/>
              </w:rPr>
              <w:t>unrealised</w:t>
            </w:r>
            <w:proofErr w:type="spellEnd"/>
            <w:r w:rsidRPr="00585F66">
              <w:rPr>
                <w:rFonts w:asciiTheme="minorHAnsi" w:hAnsiTheme="minorHAnsi" w:cstheme="minorHAnsi"/>
                <w:color w:val="000000" w:themeColor="text1"/>
                <w:sz w:val="22"/>
                <w:szCs w:val="22"/>
              </w:rPr>
              <w:t xml:space="preserve"> gains, notional gains or revaluation of assets, whether shown as a reserve or otherwise, or</w:t>
            </w:r>
          </w:p>
          <w:p w14:paraId="098C4101"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12"/>
                <w:szCs w:val="22"/>
              </w:rPr>
            </w:pPr>
          </w:p>
          <w:p w14:paraId="64A67A6F"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 xml:space="preserve">(ii) </w:t>
            </w:r>
            <w:proofErr w:type="gramStart"/>
            <w:r w:rsidRPr="00585F66">
              <w:rPr>
                <w:rFonts w:asciiTheme="minorHAnsi" w:hAnsiTheme="minorHAnsi" w:cstheme="minorHAnsi"/>
                <w:color w:val="000000" w:themeColor="text1"/>
                <w:sz w:val="22"/>
                <w:szCs w:val="22"/>
              </w:rPr>
              <w:t>any</w:t>
            </w:r>
            <w:proofErr w:type="gramEnd"/>
            <w:r w:rsidRPr="00585F66">
              <w:rPr>
                <w:rFonts w:asciiTheme="minorHAnsi" w:hAnsiTheme="minorHAnsi" w:cstheme="minorHAnsi"/>
                <w:color w:val="000000" w:themeColor="text1"/>
                <w:sz w:val="22"/>
                <w:szCs w:val="22"/>
              </w:rPr>
              <w:t xml:space="preserve"> change in carrying amount of an asset or of a liability </w:t>
            </w:r>
            <w:proofErr w:type="spellStart"/>
            <w:r w:rsidRPr="00585F66">
              <w:rPr>
                <w:rFonts w:asciiTheme="minorHAnsi" w:hAnsiTheme="minorHAnsi" w:cstheme="minorHAnsi"/>
                <w:color w:val="000000" w:themeColor="text1"/>
                <w:sz w:val="22"/>
                <w:szCs w:val="22"/>
              </w:rPr>
              <w:t>recognised</w:t>
            </w:r>
            <w:proofErr w:type="spellEnd"/>
            <w:r w:rsidRPr="00585F66">
              <w:rPr>
                <w:rFonts w:asciiTheme="minorHAnsi" w:hAnsiTheme="minorHAnsi" w:cstheme="minorHAnsi"/>
                <w:color w:val="000000" w:themeColor="text1"/>
                <w:sz w:val="22"/>
                <w:szCs w:val="22"/>
              </w:rPr>
              <w:t xml:space="preserve"> in equity, including surplus in profit and loss account on measurement of the asset or the liability at fair value, shall not be treated as free reserves.</w:t>
            </w:r>
          </w:p>
          <w:p w14:paraId="61B3E191"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14"/>
                <w:szCs w:val="22"/>
              </w:rPr>
            </w:pPr>
          </w:p>
          <w:p w14:paraId="4CE1716F"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 xml:space="preserve">Free Reserves shall include Profit &amp; Loss, General Reserve, Securities Premium, </w:t>
            </w:r>
            <w:proofErr w:type="gramStart"/>
            <w:r w:rsidRPr="00585F66">
              <w:rPr>
                <w:rFonts w:asciiTheme="minorHAnsi" w:hAnsiTheme="minorHAnsi" w:cstheme="minorHAnsi"/>
                <w:color w:val="000000" w:themeColor="text1"/>
                <w:sz w:val="22"/>
                <w:szCs w:val="22"/>
              </w:rPr>
              <w:t>Preference</w:t>
            </w:r>
            <w:proofErr w:type="gramEnd"/>
            <w:r w:rsidRPr="00585F66">
              <w:rPr>
                <w:rFonts w:asciiTheme="minorHAnsi" w:hAnsiTheme="minorHAnsi" w:cstheme="minorHAnsi"/>
                <w:color w:val="000000" w:themeColor="text1"/>
                <w:sz w:val="22"/>
                <w:szCs w:val="22"/>
              </w:rPr>
              <w:t xml:space="preserve"> Share Redemption Reserve, Capital Redemption Reserve </w:t>
            </w:r>
            <w:proofErr w:type="spellStart"/>
            <w:r w:rsidRPr="00585F66">
              <w:rPr>
                <w:rFonts w:asciiTheme="minorHAnsi" w:hAnsiTheme="minorHAnsi" w:cstheme="minorHAnsi"/>
                <w:color w:val="000000" w:themeColor="text1"/>
                <w:sz w:val="22"/>
                <w:szCs w:val="22"/>
              </w:rPr>
              <w:t>etc</w:t>
            </w:r>
            <w:proofErr w:type="spellEnd"/>
            <w:r w:rsidRPr="00585F66">
              <w:rPr>
                <w:rFonts w:asciiTheme="minorHAnsi" w:hAnsiTheme="minorHAnsi" w:cstheme="minorHAnsi"/>
                <w:color w:val="000000" w:themeColor="text1"/>
                <w:sz w:val="22"/>
                <w:szCs w:val="22"/>
              </w:rPr>
              <w:t xml:space="preserve"> balance of which represents surplus arising out of sale proceeds of assets but will not include reserves created by revaluation of assets.</w:t>
            </w:r>
          </w:p>
          <w:p w14:paraId="7FC98F87"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12"/>
                <w:szCs w:val="22"/>
              </w:rPr>
            </w:pPr>
          </w:p>
          <w:p w14:paraId="729436EF"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Free Reserves should not include reserves such as Revaluation Reserve, Capital Reserve, Amalgamation Reserve, Debenture Redemption Reserve and other like reserves.</w:t>
            </w:r>
          </w:p>
        </w:tc>
      </w:tr>
      <w:tr w:rsidR="00585F66" w:rsidRPr="00585F66" w14:paraId="0896820D" w14:textId="77777777" w:rsidTr="00147DF7">
        <w:tc>
          <w:tcPr>
            <w:tcW w:w="9923" w:type="dxa"/>
            <w:gridSpan w:val="3"/>
            <w:tcBorders>
              <w:left w:val="nil"/>
              <w:bottom w:val="single" w:sz="4" w:space="0" w:color="auto"/>
              <w:right w:val="nil"/>
            </w:tcBorders>
          </w:tcPr>
          <w:p w14:paraId="663D3A99"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16"/>
                <w:szCs w:val="22"/>
              </w:rPr>
            </w:pPr>
          </w:p>
          <w:p w14:paraId="55FDFC1D" w14:textId="77777777" w:rsidR="00147DF7" w:rsidRPr="00585F66" w:rsidRDefault="00147DF7" w:rsidP="00147DF7">
            <w:pPr>
              <w:pStyle w:val="NormalWeb"/>
              <w:spacing w:before="0" w:beforeAutospacing="0" w:after="0" w:afterAutospacing="0"/>
              <w:ind w:left="-112"/>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B) Non-Allowable Assets</w:t>
            </w:r>
          </w:p>
          <w:p w14:paraId="0BBDBA08" w14:textId="77777777" w:rsidR="00147DF7" w:rsidRPr="00585F66" w:rsidRDefault="00147DF7" w:rsidP="00147DF7">
            <w:pPr>
              <w:pStyle w:val="NormalWeb"/>
              <w:spacing w:before="0" w:beforeAutospacing="0" w:after="0" w:afterAutospacing="0"/>
              <w:jc w:val="both"/>
              <w:rPr>
                <w:rFonts w:asciiTheme="minorHAnsi" w:hAnsiTheme="minorHAnsi" w:cstheme="minorHAnsi"/>
                <w:b/>
                <w:bCs/>
                <w:color w:val="000000" w:themeColor="text1"/>
                <w:sz w:val="2"/>
                <w:szCs w:val="22"/>
              </w:rPr>
            </w:pPr>
          </w:p>
        </w:tc>
      </w:tr>
      <w:tr w:rsidR="00585F66" w:rsidRPr="00585F66" w14:paraId="71E88B61" w14:textId="77777777" w:rsidTr="006579DA">
        <w:tc>
          <w:tcPr>
            <w:tcW w:w="821" w:type="dxa"/>
            <w:tcBorders>
              <w:left w:val="single" w:sz="4" w:space="0" w:color="auto"/>
              <w:right w:val="single" w:sz="4" w:space="0" w:color="auto"/>
            </w:tcBorders>
            <w:vAlign w:val="center"/>
          </w:tcPr>
          <w:p w14:paraId="1107E898" w14:textId="32FB0C09" w:rsidR="00147DF7" w:rsidRPr="00585F66" w:rsidRDefault="00147DF7" w:rsidP="006579DA">
            <w:pPr>
              <w:pStyle w:val="NormalWeb"/>
              <w:spacing w:before="0" w:beforeAutospacing="0" w:after="0" w:afterAutospacing="0"/>
              <w:jc w:val="center"/>
              <w:rPr>
                <w:rFonts w:asciiTheme="minorHAnsi" w:hAnsiTheme="minorHAnsi" w:cstheme="minorHAnsi"/>
                <w:color w:val="000000" w:themeColor="text1"/>
                <w:sz w:val="22"/>
                <w:szCs w:val="22"/>
              </w:rPr>
            </w:pPr>
            <w:r w:rsidRPr="00585F66">
              <w:rPr>
                <w:rFonts w:asciiTheme="minorHAnsi" w:hAnsiTheme="minorHAnsi" w:cstheme="minorHAnsi"/>
                <w:b/>
                <w:bCs/>
                <w:color w:val="000000" w:themeColor="text1"/>
                <w:sz w:val="22"/>
                <w:szCs w:val="22"/>
              </w:rPr>
              <w:t>S</w:t>
            </w:r>
            <w:r w:rsidR="006579DA">
              <w:rPr>
                <w:rFonts w:asciiTheme="minorHAnsi" w:hAnsiTheme="minorHAnsi" w:cstheme="minorHAnsi"/>
                <w:b/>
                <w:bCs/>
                <w:color w:val="000000" w:themeColor="text1"/>
                <w:sz w:val="22"/>
                <w:szCs w:val="22"/>
              </w:rPr>
              <w:t>r</w:t>
            </w:r>
            <w:r w:rsidRPr="00585F66">
              <w:rPr>
                <w:rFonts w:asciiTheme="minorHAnsi" w:hAnsiTheme="minorHAnsi" w:cstheme="minorHAnsi"/>
                <w:b/>
                <w:bCs/>
                <w:color w:val="000000" w:themeColor="text1"/>
                <w:sz w:val="22"/>
                <w:szCs w:val="22"/>
              </w:rPr>
              <w:t>. No.</w:t>
            </w:r>
          </w:p>
        </w:tc>
        <w:tc>
          <w:tcPr>
            <w:tcW w:w="1731" w:type="dxa"/>
            <w:tcBorders>
              <w:left w:val="single" w:sz="4" w:space="0" w:color="auto"/>
              <w:right w:val="single" w:sz="4" w:space="0" w:color="auto"/>
            </w:tcBorders>
            <w:vAlign w:val="center"/>
          </w:tcPr>
          <w:p w14:paraId="7772C7B6" w14:textId="12A7B9F0" w:rsidR="00147DF7" w:rsidRPr="00585F66" w:rsidRDefault="00147DF7" w:rsidP="006579DA">
            <w:pPr>
              <w:pStyle w:val="NormalWeb"/>
              <w:spacing w:before="0" w:beforeAutospacing="0" w:after="0" w:afterAutospacing="0"/>
              <w:jc w:val="center"/>
              <w:rPr>
                <w:rFonts w:asciiTheme="minorHAnsi" w:hAnsiTheme="minorHAnsi" w:cstheme="minorHAnsi"/>
                <w:color w:val="000000" w:themeColor="text1"/>
                <w:sz w:val="22"/>
                <w:szCs w:val="22"/>
              </w:rPr>
            </w:pPr>
            <w:r w:rsidRPr="00585F66">
              <w:rPr>
                <w:rFonts w:asciiTheme="minorHAnsi" w:hAnsiTheme="minorHAnsi" w:cstheme="minorHAnsi"/>
                <w:b/>
                <w:bCs/>
                <w:color w:val="000000" w:themeColor="text1"/>
                <w:sz w:val="22"/>
                <w:szCs w:val="22"/>
              </w:rPr>
              <w:t>Components of Net worth</w:t>
            </w:r>
          </w:p>
        </w:tc>
        <w:tc>
          <w:tcPr>
            <w:tcW w:w="7371" w:type="dxa"/>
            <w:tcBorders>
              <w:left w:val="single" w:sz="4" w:space="0" w:color="auto"/>
              <w:right w:val="single" w:sz="4" w:space="0" w:color="auto"/>
            </w:tcBorders>
            <w:vAlign w:val="center"/>
          </w:tcPr>
          <w:p w14:paraId="09648FAD" w14:textId="77777777" w:rsidR="00147DF7" w:rsidRPr="00585F66" w:rsidRDefault="00147DF7" w:rsidP="006579DA">
            <w:pPr>
              <w:pStyle w:val="NormalWeb"/>
              <w:spacing w:before="0" w:beforeAutospacing="0" w:after="0" w:afterAutospacing="0"/>
              <w:jc w:val="center"/>
              <w:rPr>
                <w:rFonts w:asciiTheme="minorHAnsi" w:hAnsiTheme="minorHAnsi" w:cstheme="minorHAnsi"/>
                <w:color w:val="000000" w:themeColor="text1"/>
                <w:sz w:val="22"/>
                <w:szCs w:val="22"/>
              </w:rPr>
            </w:pPr>
            <w:r w:rsidRPr="00585F66">
              <w:rPr>
                <w:rFonts w:asciiTheme="minorHAnsi" w:hAnsiTheme="minorHAnsi" w:cstheme="minorHAnsi"/>
                <w:b/>
                <w:bCs/>
                <w:color w:val="000000" w:themeColor="text1"/>
                <w:sz w:val="22"/>
                <w:szCs w:val="22"/>
              </w:rPr>
              <w:t>Remarks</w:t>
            </w:r>
          </w:p>
        </w:tc>
      </w:tr>
      <w:tr w:rsidR="00585F66" w:rsidRPr="00585F66" w14:paraId="72220482" w14:textId="77777777" w:rsidTr="00147DF7">
        <w:tc>
          <w:tcPr>
            <w:tcW w:w="821" w:type="dxa"/>
          </w:tcPr>
          <w:p w14:paraId="0137F689"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3</w:t>
            </w:r>
          </w:p>
        </w:tc>
        <w:tc>
          <w:tcPr>
            <w:tcW w:w="1731" w:type="dxa"/>
          </w:tcPr>
          <w:p w14:paraId="5AF9A7A1"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b/>
                <w:color w:val="000000" w:themeColor="text1"/>
                <w:sz w:val="22"/>
                <w:szCs w:val="22"/>
              </w:rPr>
              <w:t>Fixed Assets</w:t>
            </w:r>
          </w:p>
        </w:tc>
        <w:tc>
          <w:tcPr>
            <w:tcW w:w="7371" w:type="dxa"/>
          </w:tcPr>
          <w:p w14:paraId="36A0BEBB"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This shall include: -</w:t>
            </w:r>
          </w:p>
          <w:p w14:paraId="4FC1D8CF" w14:textId="77777777" w:rsidR="00147DF7" w:rsidRPr="00585F66" w:rsidRDefault="00147DF7" w:rsidP="00147DF7">
            <w:pPr>
              <w:pStyle w:val="NormalWeb"/>
              <w:numPr>
                <w:ilvl w:val="0"/>
                <w:numId w:val="35"/>
              </w:numPr>
              <w:spacing w:before="0" w:beforeAutospacing="0" w:after="0" w:afterAutospacing="0"/>
              <w:ind w:left="168" w:hanging="168"/>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Net book value of all the Tangible Assets as per Balance Sheet / Trial Balance.</w:t>
            </w:r>
          </w:p>
          <w:p w14:paraId="5AA764F9" w14:textId="77777777" w:rsidR="00147DF7" w:rsidRPr="00585F66" w:rsidRDefault="00147DF7" w:rsidP="00147DF7">
            <w:pPr>
              <w:pStyle w:val="NormalWeb"/>
              <w:numPr>
                <w:ilvl w:val="0"/>
                <w:numId w:val="35"/>
              </w:numPr>
              <w:spacing w:before="0" w:beforeAutospacing="0" w:after="0" w:afterAutospacing="0"/>
              <w:ind w:left="168" w:hanging="168"/>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Advances given for acquisition of fixed assets</w:t>
            </w:r>
          </w:p>
          <w:p w14:paraId="62D99440" w14:textId="77777777" w:rsidR="00147DF7" w:rsidRPr="00585F66" w:rsidRDefault="00147DF7" w:rsidP="00147DF7">
            <w:pPr>
              <w:pStyle w:val="NormalWeb"/>
              <w:numPr>
                <w:ilvl w:val="0"/>
                <w:numId w:val="35"/>
              </w:numPr>
              <w:spacing w:before="0" w:beforeAutospacing="0" w:after="0" w:afterAutospacing="0"/>
              <w:ind w:left="168" w:hanging="168"/>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Capital work in progress.</w:t>
            </w:r>
          </w:p>
          <w:p w14:paraId="50193563"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Assets under lease or taken on rent need not be deducted from the Net worth</w:t>
            </w:r>
          </w:p>
        </w:tc>
      </w:tr>
      <w:tr w:rsidR="00585F66" w:rsidRPr="00585F66" w14:paraId="1078D87A" w14:textId="77777777" w:rsidTr="00147DF7">
        <w:tc>
          <w:tcPr>
            <w:tcW w:w="821" w:type="dxa"/>
          </w:tcPr>
          <w:p w14:paraId="1E13DE7F"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4</w:t>
            </w:r>
          </w:p>
        </w:tc>
        <w:tc>
          <w:tcPr>
            <w:tcW w:w="1731" w:type="dxa"/>
          </w:tcPr>
          <w:p w14:paraId="7B4B7DEF" w14:textId="77777777" w:rsidR="00147DF7" w:rsidRPr="00585F66" w:rsidRDefault="00147DF7" w:rsidP="007E2B56">
            <w:pPr>
              <w:pStyle w:val="NormalWeb"/>
              <w:jc w:val="both"/>
              <w:rPr>
                <w:rFonts w:asciiTheme="minorHAnsi" w:hAnsiTheme="minorHAnsi" w:cstheme="minorHAnsi"/>
                <w:b/>
                <w:color w:val="000000" w:themeColor="text1"/>
                <w:sz w:val="22"/>
                <w:szCs w:val="22"/>
              </w:rPr>
            </w:pPr>
            <w:r w:rsidRPr="00585F66">
              <w:rPr>
                <w:rFonts w:asciiTheme="minorHAnsi" w:hAnsiTheme="minorHAnsi" w:cstheme="minorHAnsi"/>
                <w:b/>
                <w:color w:val="000000" w:themeColor="text1"/>
                <w:sz w:val="22"/>
                <w:szCs w:val="22"/>
              </w:rPr>
              <w:t>Pledged Securities</w:t>
            </w:r>
          </w:p>
        </w:tc>
        <w:tc>
          <w:tcPr>
            <w:tcW w:w="7371" w:type="dxa"/>
          </w:tcPr>
          <w:p w14:paraId="1A2B24D3" w14:textId="38466C8C" w:rsidR="00147DF7" w:rsidRPr="00585F66" w:rsidRDefault="006579DA" w:rsidP="00147DF7">
            <w:pPr>
              <w:pStyle w:val="Norma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Total value of own securities (</w:t>
            </w:r>
            <w:r w:rsidR="00147DF7" w:rsidRPr="00585F66">
              <w:rPr>
                <w:rFonts w:asciiTheme="minorHAnsi" w:hAnsiTheme="minorHAnsi" w:cstheme="minorHAnsi"/>
                <w:color w:val="000000" w:themeColor="text1"/>
                <w:sz w:val="22"/>
                <w:szCs w:val="22"/>
              </w:rPr>
              <w:t>as recorded in the books of accounts) pledged with the Banks / NBFC or any Financial Institution for raising funds.</w:t>
            </w:r>
          </w:p>
          <w:p w14:paraId="043074D1"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Own shares pledged to clearing corporations/clearing members are not required to be deducted from Networth.</w:t>
            </w:r>
          </w:p>
          <w:p w14:paraId="51FE3850"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 xml:space="preserve">Illustration: </w:t>
            </w:r>
          </w:p>
          <w:tbl>
            <w:tblPr>
              <w:tblStyle w:val="TableGrid"/>
              <w:tblW w:w="6997" w:type="dxa"/>
              <w:tblLook w:val="04A0" w:firstRow="1" w:lastRow="0" w:firstColumn="1" w:lastColumn="0" w:noHBand="0" w:noVBand="1"/>
            </w:tblPr>
            <w:tblGrid>
              <w:gridCol w:w="5839"/>
              <w:gridCol w:w="1143"/>
              <w:gridCol w:w="15"/>
            </w:tblGrid>
            <w:tr w:rsidR="00585F66" w:rsidRPr="00585F66" w14:paraId="04B3DAF7" w14:textId="77777777" w:rsidTr="00147DF7">
              <w:trPr>
                <w:gridAfter w:val="1"/>
                <w:wAfter w:w="15" w:type="dxa"/>
              </w:trPr>
              <w:tc>
                <w:tcPr>
                  <w:tcW w:w="5839" w:type="dxa"/>
                </w:tcPr>
                <w:p w14:paraId="20C32C5B" w14:textId="77777777" w:rsidR="00147DF7" w:rsidRPr="00585F66" w:rsidRDefault="00147DF7" w:rsidP="00147DF7">
                  <w:pPr>
                    <w:pStyle w:val="NormalWeb"/>
                    <w:spacing w:before="0" w:beforeAutospacing="0" w:after="0" w:afterAutospacing="0"/>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Particulars</w:t>
                  </w:r>
                </w:p>
              </w:tc>
              <w:tc>
                <w:tcPr>
                  <w:tcW w:w="1143" w:type="dxa"/>
                </w:tcPr>
                <w:p w14:paraId="7A8969FC" w14:textId="77777777" w:rsidR="00147DF7" w:rsidRPr="00585F66" w:rsidRDefault="00147DF7" w:rsidP="00147DF7">
                  <w:pPr>
                    <w:pStyle w:val="NormalWeb"/>
                    <w:spacing w:before="0" w:beforeAutospacing="0" w:after="0" w:afterAutospacing="0"/>
                    <w:jc w:val="center"/>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Amount</w:t>
                  </w:r>
                </w:p>
              </w:tc>
            </w:tr>
            <w:tr w:rsidR="00585F66" w:rsidRPr="00585F66" w14:paraId="61338BEF" w14:textId="77777777" w:rsidTr="00147DF7">
              <w:trPr>
                <w:gridAfter w:val="1"/>
                <w:wAfter w:w="15" w:type="dxa"/>
              </w:trPr>
              <w:tc>
                <w:tcPr>
                  <w:tcW w:w="5839" w:type="dxa"/>
                </w:tcPr>
                <w:p w14:paraId="02E3F74C"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Total Value of own securities as per books of accounts (all Marketable)</w:t>
                  </w:r>
                </w:p>
              </w:tc>
              <w:tc>
                <w:tcPr>
                  <w:tcW w:w="1143" w:type="dxa"/>
                </w:tcPr>
                <w:p w14:paraId="7E92CF9C" w14:textId="77777777" w:rsidR="00147DF7" w:rsidRPr="00585F66" w:rsidRDefault="00147DF7" w:rsidP="00147DF7">
                  <w:pPr>
                    <w:pStyle w:val="NormalWeb"/>
                    <w:spacing w:before="0" w:beforeAutospacing="0" w:after="0" w:afterAutospacing="0"/>
                    <w:jc w:val="center"/>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Rs. 1000/-</w:t>
                  </w:r>
                </w:p>
              </w:tc>
            </w:tr>
            <w:tr w:rsidR="00585F66" w:rsidRPr="00585F66" w14:paraId="4A2DE5EA" w14:textId="77777777" w:rsidTr="00147DF7">
              <w:trPr>
                <w:gridAfter w:val="1"/>
                <w:wAfter w:w="15" w:type="dxa"/>
              </w:trPr>
              <w:tc>
                <w:tcPr>
                  <w:tcW w:w="5839" w:type="dxa"/>
                </w:tcPr>
                <w:p w14:paraId="118C2EC3"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Total Value of own securities pledged (Included above)</w:t>
                  </w:r>
                </w:p>
              </w:tc>
              <w:tc>
                <w:tcPr>
                  <w:tcW w:w="1143" w:type="dxa"/>
                </w:tcPr>
                <w:p w14:paraId="49EAA7A3" w14:textId="77777777" w:rsidR="00147DF7" w:rsidRPr="00585F66" w:rsidRDefault="00147DF7" w:rsidP="00147DF7">
                  <w:pPr>
                    <w:pStyle w:val="NormalWeb"/>
                    <w:spacing w:before="0" w:beforeAutospacing="0" w:after="0" w:afterAutospacing="0"/>
                    <w:jc w:val="center"/>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Rs. 700/-</w:t>
                  </w:r>
                </w:p>
              </w:tc>
            </w:tr>
            <w:tr w:rsidR="00585F66" w:rsidRPr="00585F66" w14:paraId="157EED95" w14:textId="77777777" w:rsidTr="00147DF7">
              <w:tc>
                <w:tcPr>
                  <w:tcW w:w="6997" w:type="dxa"/>
                  <w:gridSpan w:val="3"/>
                </w:tcPr>
                <w:p w14:paraId="5DDA29B5" w14:textId="77777777" w:rsidR="00147DF7" w:rsidRPr="00585F66" w:rsidRDefault="00147DF7" w:rsidP="00147DF7">
                  <w:pPr>
                    <w:pStyle w:val="NormalWeb"/>
                    <w:spacing w:before="0" w:beforeAutospacing="0" w:after="0" w:afterAutospacing="0"/>
                    <w:jc w:val="center"/>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Amount to be deducted from Networth</w:t>
                  </w:r>
                </w:p>
              </w:tc>
            </w:tr>
            <w:tr w:rsidR="00585F66" w:rsidRPr="00585F66" w14:paraId="0A74FD20" w14:textId="77777777" w:rsidTr="00147DF7">
              <w:trPr>
                <w:gridAfter w:val="1"/>
                <w:wAfter w:w="15" w:type="dxa"/>
              </w:trPr>
              <w:tc>
                <w:tcPr>
                  <w:tcW w:w="5839" w:type="dxa"/>
                </w:tcPr>
                <w:p w14:paraId="416D2507"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Value of pledged securities (100% of Rs. 700/-)</w:t>
                  </w:r>
                </w:p>
              </w:tc>
              <w:tc>
                <w:tcPr>
                  <w:tcW w:w="1143" w:type="dxa"/>
                </w:tcPr>
                <w:p w14:paraId="1332445A" w14:textId="77777777" w:rsidR="00147DF7" w:rsidRPr="00585F66" w:rsidRDefault="00147DF7" w:rsidP="00147DF7">
                  <w:pPr>
                    <w:pStyle w:val="NormalWeb"/>
                    <w:spacing w:before="0" w:beforeAutospacing="0" w:after="0" w:afterAutospacing="0"/>
                    <w:jc w:val="center"/>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Rs. 700/-</w:t>
                  </w:r>
                </w:p>
              </w:tc>
            </w:tr>
            <w:tr w:rsidR="00585F66" w:rsidRPr="00585F66" w14:paraId="0C487080" w14:textId="77777777" w:rsidTr="00147DF7">
              <w:trPr>
                <w:gridAfter w:val="1"/>
                <w:wAfter w:w="15" w:type="dxa"/>
              </w:trPr>
              <w:tc>
                <w:tcPr>
                  <w:tcW w:w="5839" w:type="dxa"/>
                </w:tcPr>
                <w:p w14:paraId="451F7297" w14:textId="77777777" w:rsidR="00147DF7" w:rsidRPr="00585F66" w:rsidRDefault="00147DF7" w:rsidP="00147DF7">
                  <w:pPr>
                    <w:pStyle w:val="NoSpacing"/>
                    <w:jc w:val="both"/>
                    <w:rPr>
                      <w:rFonts w:cstheme="minorHAnsi"/>
                      <w:color w:val="000000" w:themeColor="text1"/>
                    </w:rPr>
                  </w:pPr>
                  <w:r w:rsidRPr="00585F66">
                    <w:rPr>
                      <w:rFonts w:cstheme="minorHAnsi"/>
                      <w:color w:val="000000" w:themeColor="text1"/>
                    </w:rPr>
                    <w:t>30 % of the balance marketable shares</w:t>
                  </w:r>
                </w:p>
                <w:p w14:paraId="627BED02" w14:textId="77777777" w:rsidR="00147DF7" w:rsidRPr="00585F66" w:rsidRDefault="00147DF7" w:rsidP="00147DF7">
                  <w:pPr>
                    <w:pStyle w:val="NoSpacing"/>
                    <w:jc w:val="both"/>
                    <w:rPr>
                      <w:rFonts w:cstheme="minorHAnsi"/>
                      <w:color w:val="000000" w:themeColor="text1"/>
                    </w:rPr>
                  </w:pPr>
                  <w:r w:rsidRPr="00585F66">
                    <w:rPr>
                      <w:rFonts w:cstheme="minorHAnsi"/>
                      <w:color w:val="000000" w:themeColor="text1"/>
                    </w:rPr>
                    <w:t>(30% of (Rs. 1000-Rs. 700) )</w:t>
                  </w:r>
                </w:p>
              </w:tc>
              <w:tc>
                <w:tcPr>
                  <w:tcW w:w="1143" w:type="dxa"/>
                </w:tcPr>
                <w:p w14:paraId="474063FB" w14:textId="77777777" w:rsidR="00147DF7" w:rsidRPr="00585F66" w:rsidRDefault="00147DF7" w:rsidP="00147DF7">
                  <w:pPr>
                    <w:pStyle w:val="NormalWeb"/>
                    <w:spacing w:before="0" w:beforeAutospacing="0" w:after="0" w:afterAutospacing="0"/>
                    <w:jc w:val="center"/>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Rs. 90/-</w:t>
                  </w:r>
                </w:p>
              </w:tc>
            </w:tr>
            <w:tr w:rsidR="00585F66" w:rsidRPr="00585F66" w14:paraId="0D546869" w14:textId="77777777" w:rsidTr="00147DF7">
              <w:trPr>
                <w:gridAfter w:val="1"/>
                <w:wAfter w:w="15" w:type="dxa"/>
              </w:trPr>
              <w:tc>
                <w:tcPr>
                  <w:tcW w:w="5839" w:type="dxa"/>
                </w:tcPr>
                <w:p w14:paraId="52108995" w14:textId="77777777" w:rsidR="00147DF7" w:rsidRPr="00585F66" w:rsidRDefault="00147DF7" w:rsidP="00147DF7">
                  <w:pPr>
                    <w:pStyle w:val="NoSpacing"/>
                    <w:jc w:val="both"/>
                    <w:rPr>
                      <w:rFonts w:cstheme="minorHAnsi"/>
                      <w:b/>
                      <w:bCs/>
                      <w:color w:val="000000" w:themeColor="text1"/>
                    </w:rPr>
                  </w:pPr>
                  <w:r w:rsidRPr="00585F66">
                    <w:rPr>
                      <w:rFonts w:cstheme="minorHAnsi"/>
                      <w:b/>
                      <w:bCs/>
                      <w:color w:val="000000" w:themeColor="text1"/>
                    </w:rPr>
                    <w:t>TOTAL AMOUNT TO BE DEDUCTED</w:t>
                  </w:r>
                </w:p>
              </w:tc>
              <w:tc>
                <w:tcPr>
                  <w:tcW w:w="1143" w:type="dxa"/>
                </w:tcPr>
                <w:p w14:paraId="5F7B03FA" w14:textId="77777777" w:rsidR="00147DF7" w:rsidRPr="00585F66" w:rsidRDefault="00147DF7" w:rsidP="00147DF7">
                  <w:pPr>
                    <w:pStyle w:val="NormalWeb"/>
                    <w:spacing w:before="0" w:beforeAutospacing="0" w:after="0" w:afterAutospacing="0"/>
                    <w:jc w:val="center"/>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Rs. 790/-</w:t>
                  </w:r>
                </w:p>
              </w:tc>
            </w:tr>
          </w:tbl>
          <w:p w14:paraId="7A364EC5"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p>
        </w:tc>
      </w:tr>
      <w:tr w:rsidR="00585F66" w:rsidRPr="00585F66" w14:paraId="038F071C" w14:textId="77777777" w:rsidTr="00147DF7">
        <w:tc>
          <w:tcPr>
            <w:tcW w:w="821" w:type="dxa"/>
          </w:tcPr>
          <w:p w14:paraId="07156C02"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lastRenderedPageBreak/>
              <w:t>5</w:t>
            </w:r>
          </w:p>
        </w:tc>
        <w:tc>
          <w:tcPr>
            <w:tcW w:w="1731" w:type="dxa"/>
          </w:tcPr>
          <w:p w14:paraId="5BDD383B" w14:textId="77777777" w:rsidR="00147DF7" w:rsidRPr="00585F66" w:rsidRDefault="00147DF7" w:rsidP="007E2B56">
            <w:pPr>
              <w:pStyle w:val="NormalWeb"/>
              <w:jc w:val="both"/>
              <w:rPr>
                <w:rFonts w:asciiTheme="minorHAnsi" w:hAnsiTheme="minorHAnsi" w:cstheme="minorHAnsi"/>
                <w:b/>
                <w:color w:val="000000" w:themeColor="text1"/>
                <w:sz w:val="22"/>
                <w:szCs w:val="22"/>
              </w:rPr>
            </w:pPr>
            <w:r w:rsidRPr="00585F66">
              <w:rPr>
                <w:rFonts w:asciiTheme="minorHAnsi" w:hAnsiTheme="minorHAnsi" w:cstheme="minorHAnsi"/>
                <w:b/>
                <w:color w:val="000000" w:themeColor="text1"/>
                <w:sz w:val="22"/>
                <w:szCs w:val="22"/>
              </w:rPr>
              <w:t>Non-allowable securities</w:t>
            </w:r>
          </w:p>
        </w:tc>
        <w:tc>
          <w:tcPr>
            <w:tcW w:w="7371" w:type="dxa"/>
          </w:tcPr>
          <w:p w14:paraId="50C30F6B"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This shall include: -</w:t>
            </w:r>
          </w:p>
          <w:p w14:paraId="6633497F" w14:textId="77777777" w:rsidR="00147DF7" w:rsidRPr="00585F66" w:rsidRDefault="00147DF7" w:rsidP="00147DF7">
            <w:pPr>
              <w:pStyle w:val="NormalWeb"/>
              <w:numPr>
                <w:ilvl w:val="0"/>
                <w:numId w:val="35"/>
              </w:numPr>
              <w:spacing w:before="0" w:beforeAutospacing="0" w:after="0" w:afterAutospacing="0"/>
              <w:ind w:left="168" w:hanging="18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Value of all unlisted securities as recorded in the balance sheet including available under ‘non-current investments’.</w:t>
            </w:r>
          </w:p>
          <w:p w14:paraId="58976DDE" w14:textId="77777777" w:rsidR="00147DF7" w:rsidRPr="00585F66" w:rsidRDefault="00147DF7" w:rsidP="00147DF7">
            <w:pPr>
              <w:pStyle w:val="NormalWeb"/>
              <w:numPr>
                <w:ilvl w:val="0"/>
                <w:numId w:val="35"/>
              </w:numPr>
              <w:spacing w:before="0" w:beforeAutospacing="0" w:after="0" w:afterAutospacing="0"/>
              <w:ind w:left="168" w:hanging="18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Investments done in unlisted securities of associate / subsidiary / group companies.</w:t>
            </w:r>
          </w:p>
          <w:p w14:paraId="445ECA98" w14:textId="77777777" w:rsidR="00147DF7" w:rsidRPr="00585F66" w:rsidRDefault="00147DF7" w:rsidP="00147DF7">
            <w:pPr>
              <w:pStyle w:val="NormalWeb"/>
              <w:spacing w:before="0" w:beforeAutospacing="0" w:after="0" w:afterAutospacing="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Liquid &amp; Debt Mutual Funds, G-Sec, non-government debt securities, corporate bonds shall not form part of Non-allowable securities and the same shall be covered under 30% of marketable securities.</w:t>
            </w:r>
          </w:p>
        </w:tc>
      </w:tr>
      <w:tr w:rsidR="00585F66" w:rsidRPr="00585F66" w14:paraId="4992462D" w14:textId="77777777" w:rsidTr="00C91F16">
        <w:trPr>
          <w:trHeight w:val="10007"/>
        </w:trPr>
        <w:tc>
          <w:tcPr>
            <w:tcW w:w="821" w:type="dxa"/>
          </w:tcPr>
          <w:p w14:paraId="21106124"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6</w:t>
            </w:r>
          </w:p>
        </w:tc>
        <w:tc>
          <w:tcPr>
            <w:tcW w:w="1731" w:type="dxa"/>
          </w:tcPr>
          <w:p w14:paraId="0C6B5CC0" w14:textId="77777777" w:rsidR="00147DF7" w:rsidRPr="00585F66" w:rsidRDefault="00147DF7" w:rsidP="007E2B56">
            <w:pPr>
              <w:pStyle w:val="NormalWeb"/>
              <w:jc w:val="both"/>
              <w:rPr>
                <w:rFonts w:asciiTheme="minorHAnsi" w:hAnsiTheme="minorHAnsi" w:cstheme="minorHAnsi"/>
                <w:b/>
                <w:color w:val="000000" w:themeColor="text1"/>
                <w:sz w:val="22"/>
                <w:szCs w:val="22"/>
              </w:rPr>
            </w:pPr>
            <w:r w:rsidRPr="00585F66">
              <w:rPr>
                <w:rFonts w:asciiTheme="minorHAnsi" w:hAnsiTheme="minorHAnsi" w:cstheme="minorHAnsi"/>
                <w:b/>
                <w:color w:val="000000" w:themeColor="text1"/>
                <w:sz w:val="22"/>
                <w:szCs w:val="22"/>
              </w:rPr>
              <w:t>Doubtful Debts and advances</w:t>
            </w:r>
          </w:p>
        </w:tc>
        <w:tc>
          <w:tcPr>
            <w:tcW w:w="7371" w:type="dxa"/>
          </w:tcPr>
          <w:p w14:paraId="0DD1EDD9"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This shall include: -</w:t>
            </w:r>
          </w:p>
          <w:p w14:paraId="499E44DF" w14:textId="77777777" w:rsidR="00147DF7" w:rsidRPr="00585F66" w:rsidRDefault="00147DF7" w:rsidP="00147DF7">
            <w:pPr>
              <w:pStyle w:val="NormalWeb"/>
              <w:numPr>
                <w:ilvl w:val="0"/>
                <w:numId w:val="35"/>
              </w:numPr>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 xml:space="preserve">Debts or advances overdue for more than three months. </w:t>
            </w:r>
          </w:p>
          <w:p w14:paraId="57C4EAD7" w14:textId="77777777" w:rsidR="00147DF7" w:rsidRPr="00585F66" w:rsidRDefault="00147DF7" w:rsidP="007E2B56">
            <w:pPr>
              <w:jc w:val="both"/>
              <w:rPr>
                <w:rFonts w:cstheme="minorHAnsi"/>
                <w:i/>
                <w:color w:val="000000" w:themeColor="text1"/>
              </w:rPr>
            </w:pPr>
            <w:r w:rsidRPr="00585F66">
              <w:rPr>
                <w:rFonts w:cstheme="minorHAnsi"/>
                <w:i/>
                <w:color w:val="000000" w:themeColor="text1"/>
              </w:rPr>
              <w:t>For instance: Debit Balance in the trading account of client ‘A’ as on Dec 01, 2020 – Rs. 1000. If the amount is not received till March 31, 2021, then the outstanding amount as on March 31, 2021 is to be reduced from the Networth (since the amount is outstanding for more than three months)</w:t>
            </w:r>
          </w:p>
          <w:p w14:paraId="38720D0D" w14:textId="77777777" w:rsidR="00147DF7" w:rsidRPr="00585F66" w:rsidRDefault="00147DF7" w:rsidP="00147DF7">
            <w:pPr>
              <w:pStyle w:val="NormalWeb"/>
              <w:numPr>
                <w:ilvl w:val="0"/>
                <w:numId w:val="35"/>
              </w:numPr>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Wherever, a provision is created for Doubtful / Bad Debts, net amount i.e. after reducing provision made for Doubtful / Bad Debts shall be considered.</w:t>
            </w:r>
          </w:p>
          <w:p w14:paraId="0A6B887D" w14:textId="77777777" w:rsidR="00147DF7" w:rsidRPr="00585F66" w:rsidRDefault="00147DF7" w:rsidP="00147DF7">
            <w:pPr>
              <w:pStyle w:val="NormalWeb"/>
              <w:numPr>
                <w:ilvl w:val="0"/>
                <w:numId w:val="35"/>
              </w:numPr>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Any amount given in the nature of Loans, advances, Inter corporate deposits given to associates including subsidiaries / group companies of the member.</w:t>
            </w:r>
          </w:p>
          <w:p w14:paraId="5A5FD1F0" w14:textId="77777777" w:rsidR="00147DF7" w:rsidRPr="00585F66" w:rsidRDefault="00147DF7" w:rsidP="00147DF7">
            <w:pPr>
              <w:pStyle w:val="NormalWeb"/>
              <w:numPr>
                <w:ilvl w:val="0"/>
                <w:numId w:val="35"/>
              </w:numPr>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Loans given to Directors/Partners or any related party of the Member or its Directors or its partners or to the entities in which such director /partners or their relatives have control, irrespective of time period, shall also be deducted.</w:t>
            </w:r>
          </w:p>
          <w:p w14:paraId="2905DCAD" w14:textId="77777777" w:rsidR="00147DF7" w:rsidRPr="00585F66" w:rsidRDefault="00147DF7" w:rsidP="00147DF7">
            <w:pPr>
              <w:pStyle w:val="NormalWeb"/>
              <w:numPr>
                <w:ilvl w:val="0"/>
                <w:numId w:val="35"/>
              </w:numPr>
              <w:jc w:val="both"/>
              <w:rPr>
                <w:rFonts w:asciiTheme="minorHAnsi" w:hAnsiTheme="minorHAnsi" w:cstheme="minorHAnsi"/>
                <w:i/>
                <w:color w:val="000000" w:themeColor="text1"/>
                <w:sz w:val="22"/>
                <w:szCs w:val="22"/>
              </w:rPr>
            </w:pPr>
            <w:r w:rsidRPr="00585F66">
              <w:rPr>
                <w:rFonts w:asciiTheme="minorHAnsi" w:hAnsiTheme="minorHAnsi" w:cstheme="minorHAnsi"/>
                <w:color w:val="000000" w:themeColor="text1"/>
                <w:sz w:val="22"/>
                <w:szCs w:val="22"/>
              </w:rPr>
              <w:t>‘Associate’ shall have the meaning as per the SEBI (Intermediaries) Regulations, 2008</w:t>
            </w:r>
          </w:p>
          <w:p w14:paraId="60EF8F52" w14:textId="77777777" w:rsidR="00147DF7" w:rsidRPr="00585F66" w:rsidRDefault="00147DF7" w:rsidP="007E2B56">
            <w:pPr>
              <w:jc w:val="both"/>
              <w:rPr>
                <w:rFonts w:cstheme="minorHAnsi"/>
                <w:i/>
                <w:color w:val="000000" w:themeColor="text1"/>
              </w:rPr>
            </w:pPr>
            <w:r w:rsidRPr="00585F66">
              <w:rPr>
                <w:rFonts w:cstheme="minorHAnsi"/>
                <w:i/>
                <w:color w:val="000000" w:themeColor="text1"/>
              </w:rPr>
              <w:t>“associate” means and includes any person controlled, directly or indirectly, by the intermediary, any person who controls, directly or indirectly, the intermediary, or any entity or person under common control with such intermediary, or where such intermediary is a natural person any relative as defined under the Companies Act, 1956 (1 of 1956) of such intermediary or where such intermediary is a body corporate its group companies or companies under the same management;</w:t>
            </w:r>
          </w:p>
          <w:p w14:paraId="615A18A6" w14:textId="77777777" w:rsidR="00147DF7" w:rsidRPr="00585F66" w:rsidRDefault="00147DF7" w:rsidP="007E2B56">
            <w:pPr>
              <w:jc w:val="both"/>
              <w:rPr>
                <w:rFonts w:cstheme="minorHAnsi"/>
                <w:i/>
                <w:color w:val="000000" w:themeColor="text1"/>
              </w:rPr>
            </w:pPr>
          </w:p>
          <w:p w14:paraId="58708CAB" w14:textId="77777777" w:rsidR="00147DF7" w:rsidRPr="00585F66" w:rsidRDefault="00147DF7" w:rsidP="007E2B56">
            <w:pPr>
              <w:jc w:val="both"/>
              <w:rPr>
                <w:rFonts w:cstheme="minorHAnsi"/>
                <w:i/>
                <w:color w:val="000000" w:themeColor="text1"/>
              </w:rPr>
            </w:pPr>
            <w:r w:rsidRPr="00585F66">
              <w:rPr>
                <w:rFonts w:cstheme="minorHAnsi"/>
                <w:i/>
                <w:color w:val="000000" w:themeColor="text1"/>
              </w:rPr>
              <w:t>The expression 'control' shall have the same meaning as defined under clause (c) of Regulation 2 of the SEBI (Substantial Acquisition of Shares and Takeovers) Regulations, 1997.</w:t>
            </w:r>
          </w:p>
          <w:p w14:paraId="70D15954" w14:textId="77777777" w:rsidR="00147DF7" w:rsidRPr="00585F66" w:rsidRDefault="00147DF7" w:rsidP="007E2B56">
            <w:pPr>
              <w:ind w:left="709"/>
              <w:jc w:val="both"/>
              <w:rPr>
                <w:rFonts w:cstheme="minorHAnsi"/>
                <w:i/>
                <w:color w:val="000000" w:themeColor="text1"/>
              </w:rPr>
            </w:pPr>
          </w:p>
          <w:p w14:paraId="2A5CEA39" w14:textId="77777777" w:rsidR="00147DF7" w:rsidRPr="00585F66" w:rsidRDefault="00147DF7" w:rsidP="007E2B56">
            <w:pPr>
              <w:jc w:val="both"/>
              <w:rPr>
                <w:rFonts w:cstheme="minorHAnsi"/>
                <w:i/>
                <w:color w:val="000000" w:themeColor="text1"/>
              </w:rPr>
            </w:pPr>
            <w:r w:rsidRPr="00585F66">
              <w:rPr>
                <w:rFonts w:cstheme="minorHAnsi"/>
                <w:i/>
                <w:color w:val="000000" w:themeColor="text1"/>
              </w:rPr>
              <w:t xml:space="preserve">The term related party shall have the same meaning as given in clause 76 &amp; 77 of Section 2 of Companies Act 2013 to be read with Rule 4 of the Companies (Specification and definition details) Rules, 2014. </w:t>
            </w:r>
          </w:p>
        </w:tc>
      </w:tr>
      <w:tr w:rsidR="00585F66" w:rsidRPr="00585F66" w14:paraId="1823FC1D" w14:textId="77777777" w:rsidTr="00147DF7">
        <w:tc>
          <w:tcPr>
            <w:tcW w:w="821" w:type="dxa"/>
          </w:tcPr>
          <w:p w14:paraId="0B9B1267"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7</w:t>
            </w:r>
          </w:p>
        </w:tc>
        <w:tc>
          <w:tcPr>
            <w:tcW w:w="1731" w:type="dxa"/>
          </w:tcPr>
          <w:p w14:paraId="571DBC07" w14:textId="77777777" w:rsidR="00147DF7" w:rsidRPr="00585F66" w:rsidRDefault="00147DF7" w:rsidP="007E2B56">
            <w:pPr>
              <w:pStyle w:val="NormalWeb"/>
              <w:jc w:val="both"/>
              <w:rPr>
                <w:rFonts w:asciiTheme="minorHAnsi" w:hAnsiTheme="minorHAnsi" w:cstheme="minorHAnsi"/>
                <w:b/>
                <w:color w:val="000000" w:themeColor="text1"/>
                <w:sz w:val="22"/>
                <w:szCs w:val="22"/>
              </w:rPr>
            </w:pPr>
            <w:r w:rsidRPr="00585F66">
              <w:rPr>
                <w:rFonts w:asciiTheme="minorHAnsi" w:hAnsiTheme="minorHAnsi" w:cstheme="minorHAnsi"/>
                <w:b/>
                <w:color w:val="000000" w:themeColor="text1"/>
                <w:sz w:val="22"/>
                <w:szCs w:val="22"/>
              </w:rPr>
              <w:t>Prepaid Expenses, losses</w:t>
            </w:r>
          </w:p>
        </w:tc>
        <w:tc>
          <w:tcPr>
            <w:tcW w:w="7371" w:type="dxa"/>
          </w:tcPr>
          <w:p w14:paraId="2AC344BE"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This shall include:</w:t>
            </w:r>
          </w:p>
          <w:p w14:paraId="2030EB97" w14:textId="77777777" w:rsidR="00147DF7" w:rsidRPr="00585F66" w:rsidRDefault="00147DF7" w:rsidP="00147DF7">
            <w:pPr>
              <w:pStyle w:val="NormalWeb"/>
              <w:numPr>
                <w:ilvl w:val="0"/>
                <w:numId w:val="35"/>
              </w:numPr>
              <w:ind w:left="168" w:hanging="18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Prepaid expenses and losses as per Balance Sheet / Trial Balance.</w:t>
            </w:r>
          </w:p>
          <w:p w14:paraId="0FCACD09" w14:textId="77777777" w:rsidR="00147DF7" w:rsidRPr="00585F66" w:rsidRDefault="00147DF7" w:rsidP="00147DF7">
            <w:pPr>
              <w:pStyle w:val="NormalWeb"/>
              <w:numPr>
                <w:ilvl w:val="0"/>
                <w:numId w:val="35"/>
              </w:numPr>
              <w:ind w:left="168" w:hanging="18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Preliminary / Deferred revenue / Pre-operative expenses / Deferred Tax Asset/ MAT credit not written-off as per Balance Sheet</w:t>
            </w:r>
          </w:p>
          <w:p w14:paraId="72288930" w14:textId="77777777" w:rsidR="00147DF7" w:rsidRPr="00585F66" w:rsidRDefault="00147DF7" w:rsidP="00147DF7">
            <w:pPr>
              <w:pStyle w:val="NormalWeb"/>
              <w:numPr>
                <w:ilvl w:val="0"/>
                <w:numId w:val="35"/>
              </w:numPr>
              <w:ind w:left="168" w:hanging="18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GST credit not required to be deducted</w:t>
            </w:r>
          </w:p>
        </w:tc>
      </w:tr>
      <w:tr w:rsidR="00585F66" w:rsidRPr="00585F66" w14:paraId="0C68DA78" w14:textId="77777777" w:rsidTr="00147DF7">
        <w:tc>
          <w:tcPr>
            <w:tcW w:w="821" w:type="dxa"/>
          </w:tcPr>
          <w:p w14:paraId="378B99CF"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8</w:t>
            </w:r>
          </w:p>
        </w:tc>
        <w:tc>
          <w:tcPr>
            <w:tcW w:w="1731" w:type="dxa"/>
          </w:tcPr>
          <w:p w14:paraId="019879A9" w14:textId="77777777" w:rsidR="00147DF7" w:rsidRPr="00585F66" w:rsidRDefault="00147DF7" w:rsidP="007E2B56">
            <w:pPr>
              <w:pStyle w:val="NormalWeb"/>
              <w:jc w:val="both"/>
              <w:rPr>
                <w:rFonts w:asciiTheme="minorHAnsi" w:hAnsiTheme="minorHAnsi" w:cstheme="minorHAnsi"/>
                <w:b/>
                <w:color w:val="000000" w:themeColor="text1"/>
                <w:sz w:val="22"/>
                <w:szCs w:val="22"/>
              </w:rPr>
            </w:pPr>
            <w:r w:rsidRPr="00585F66">
              <w:rPr>
                <w:rFonts w:asciiTheme="minorHAnsi" w:hAnsiTheme="minorHAnsi" w:cstheme="minorHAnsi"/>
                <w:b/>
                <w:color w:val="000000" w:themeColor="text1"/>
                <w:sz w:val="22"/>
                <w:szCs w:val="22"/>
              </w:rPr>
              <w:t>Intangible Assets</w:t>
            </w:r>
          </w:p>
        </w:tc>
        <w:tc>
          <w:tcPr>
            <w:tcW w:w="7371" w:type="dxa"/>
          </w:tcPr>
          <w:p w14:paraId="384A1087" w14:textId="435D749A"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Net book value of intangible assets such as goodwill, patents, copyrights, trademarks, computer software, investment in artwork and other antique items etc. as per Balance Sheet / Trial Balance</w:t>
            </w:r>
            <w:r w:rsidR="00054247" w:rsidRPr="00585F66">
              <w:rPr>
                <w:rFonts w:asciiTheme="minorHAnsi" w:hAnsiTheme="minorHAnsi" w:cstheme="minorHAnsi"/>
                <w:color w:val="000000" w:themeColor="text1"/>
                <w:sz w:val="22"/>
                <w:szCs w:val="22"/>
              </w:rPr>
              <w:t>.</w:t>
            </w:r>
          </w:p>
        </w:tc>
      </w:tr>
      <w:tr w:rsidR="00585F66" w:rsidRPr="00585F66" w14:paraId="0271E4B4" w14:textId="77777777" w:rsidTr="00147DF7">
        <w:tc>
          <w:tcPr>
            <w:tcW w:w="821" w:type="dxa"/>
          </w:tcPr>
          <w:p w14:paraId="2D91F5C0"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lastRenderedPageBreak/>
              <w:t>9</w:t>
            </w:r>
          </w:p>
        </w:tc>
        <w:tc>
          <w:tcPr>
            <w:tcW w:w="1731" w:type="dxa"/>
          </w:tcPr>
          <w:p w14:paraId="538D9D84" w14:textId="77777777" w:rsidR="00147DF7" w:rsidRPr="00585F66" w:rsidRDefault="00147DF7" w:rsidP="007E2B56">
            <w:pPr>
              <w:pStyle w:val="NormalWeb"/>
              <w:jc w:val="both"/>
              <w:rPr>
                <w:rFonts w:asciiTheme="minorHAnsi" w:hAnsiTheme="minorHAnsi" w:cstheme="minorHAnsi"/>
                <w:b/>
                <w:color w:val="000000" w:themeColor="text1"/>
                <w:sz w:val="22"/>
                <w:szCs w:val="22"/>
              </w:rPr>
            </w:pPr>
            <w:r w:rsidRPr="00585F66">
              <w:rPr>
                <w:rFonts w:asciiTheme="minorHAnsi" w:hAnsiTheme="minorHAnsi" w:cstheme="minorHAnsi"/>
                <w:b/>
                <w:color w:val="000000" w:themeColor="text1"/>
                <w:sz w:val="22"/>
                <w:szCs w:val="22"/>
              </w:rPr>
              <w:t>30% of Marketable Securities</w:t>
            </w:r>
          </w:p>
        </w:tc>
        <w:tc>
          <w:tcPr>
            <w:tcW w:w="7371" w:type="dxa"/>
          </w:tcPr>
          <w:p w14:paraId="7AE0B7D4"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This shall include:</w:t>
            </w:r>
          </w:p>
          <w:p w14:paraId="19F928EB" w14:textId="77777777" w:rsidR="00147DF7" w:rsidRPr="00585F66" w:rsidRDefault="00147DF7" w:rsidP="00147DF7">
            <w:pPr>
              <w:pStyle w:val="NormalWeb"/>
              <w:numPr>
                <w:ilvl w:val="0"/>
                <w:numId w:val="35"/>
              </w:numPr>
              <w:ind w:left="168" w:hanging="18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Listed securities held either as investment or Stock-in-Trade / Inventories shall be referred as marketable securities.</w:t>
            </w:r>
          </w:p>
          <w:p w14:paraId="06A37E3D" w14:textId="77777777" w:rsidR="00147DF7" w:rsidRPr="00585F66" w:rsidRDefault="00147DF7" w:rsidP="00147DF7">
            <w:pPr>
              <w:pStyle w:val="NormalWeb"/>
              <w:numPr>
                <w:ilvl w:val="0"/>
                <w:numId w:val="35"/>
              </w:numPr>
              <w:ind w:left="168" w:hanging="180"/>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Value of these Securities to be considered for calculating this element shall be the value as recorded in the books of accounts, on the date of the computation of the Networth.</w:t>
            </w:r>
          </w:p>
          <w:p w14:paraId="492EACD9"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It is observed that Clearing Corporations applies different hair cut for less riskier securities (Liquid and Debt Mutual Funds, G-Sec, non-government debt securities, corporate bonds, T-bills &amp; Sovereign Gold bonds) for the purpose of collecting collaterals from members. NCL vide its circular no. NCL/CMPT/48346 dated May 21, 2021 stipulated different hair cut on different type of approved securities. Based on this, instead of deducting 30% value, such approved securities (Liquid and Debt Mutual Funds, G-Sec, non-government debt securities, corporate bonds, T-bills &amp; Sovereign Gold bonds) can be aligned with the percentage hair cut applied by the clearing corporation on such collaterals.</w:t>
            </w:r>
          </w:p>
          <w:p w14:paraId="1EA9CDA3"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 xml:space="preserve">In case Liquid and Debt Mutual Funds, G-secs, T-bills, Sovereign Gold bonds, non-government debt securities, </w:t>
            </w:r>
            <w:proofErr w:type="gramStart"/>
            <w:r w:rsidRPr="00585F66">
              <w:rPr>
                <w:rFonts w:asciiTheme="minorHAnsi" w:hAnsiTheme="minorHAnsi" w:cstheme="minorHAnsi"/>
                <w:color w:val="000000" w:themeColor="text1"/>
                <w:sz w:val="22"/>
                <w:szCs w:val="22"/>
              </w:rPr>
              <w:t>corporate</w:t>
            </w:r>
            <w:proofErr w:type="gramEnd"/>
            <w:r w:rsidRPr="00585F66">
              <w:rPr>
                <w:rFonts w:asciiTheme="minorHAnsi" w:hAnsiTheme="minorHAnsi" w:cstheme="minorHAnsi"/>
                <w:color w:val="000000" w:themeColor="text1"/>
                <w:sz w:val="22"/>
                <w:szCs w:val="22"/>
              </w:rPr>
              <w:t xml:space="preserve"> bonds does not form part of aforementioned Exchange circular, Members are advised to refer SEBI circular dated Feb 21, 2019 for the haircut.</w:t>
            </w:r>
          </w:p>
          <w:p w14:paraId="7342A0A8"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 xml:space="preserve">Illustration: </w:t>
            </w:r>
          </w:p>
          <w:tbl>
            <w:tblPr>
              <w:tblStyle w:val="TableGrid"/>
              <w:tblW w:w="0" w:type="auto"/>
              <w:tblLook w:val="04A0" w:firstRow="1" w:lastRow="0" w:firstColumn="1" w:lastColumn="0" w:noHBand="0" w:noVBand="1"/>
            </w:tblPr>
            <w:tblGrid>
              <w:gridCol w:w="4705"/>
              <w:gridCol w:w="810"/>
              <w:gridCol w:w="1503"/>
            </w:tblGrid>
            <w:tr w:rsidR="00585F66" w:rsidRPr="00585F66" w14:paraId="02DEA66A" w14:textId="77777777" w:rsidTr="00DB2A91">
              <w:tc>
                <w:tcPr>
                  <w:tcW w:w="4705" w:type="dxa"/>
                </w:tcPr>
                <w:p w14:paraId="5E1A40F2"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Particulars</w:t>
                  </w:r>
                </w:p>
              </w:tc>
              <w:tc>
                <w:tcPr>
                  <w:tcW w:w="810" w:type="dxa"/>
                </w:tcPr>
                <w:p w14:paraId="303A5DC1"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p>
              </w:tc>
              <w:tc>
                <w:tcPr>
                  <w:tcW w:w="1503" w:type="dxa"/>
                </w:tcPr>
                <w:p w14:paraId="4A2B86C9"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Amount (Rs.)</w:t>
                  </w:r>
                </w:p>
              </w:tc>
            </w:tr>
            <w:tr w:rsidR="00585F66" w:rsidRPr="00585F66" w14:paraId="526A7864" w14:textId="77777777" w:rsidTr="00DB2A91">
              <w:tc>
                <w:tcPr>
                  <w:tcW w:w="4705" w:type="dxa"/>
                </w:tcPr>
                <w:p w14:paraId="32A2D85F"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r w:rsidRPr="00585F66">
                    <w:rPr>
                      <w:rFonts w:asciiTheme="minorHAnsi" w:hAnsiTheme="minorHAnsi" w:cstheme="minorHAnsi"/>
                      <w:color w:val="000000" w:themeColor="text1"/>
                      <w:sz w:val="22"/>
                      <w:szCs w:val="22"/>
                    </w:rPr>
                    <w:t>Listed Shares</w:t>
                  </w:r>
                </w:p>
              </w:tc>
              <w:tc>
                <w:tcPr>
                  <w:tcW w:w="810" w:type="dxa"/>
                </w:tcPr>
                <w:p w14:paraId="2C538045"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A</w:t>
                  </w:r>
                </w:p>
              </w:tc>
              <w:tc>
                <w:tcPr>
                  <w:tcW w:w="1503" w:type="dxa"/>
                </w:tcPr>
                <w:p w14:paraId="1A6C93B0"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Rs. 200</w:t>
                  </w:r>
                </w:p>
              </w:tc>
            </w:tr>
            <w:tr w:rsidR="00585F66" w:rsidRPr="00585F66" w14:paraId="7FCC2E58" w14:textId="77777777" w:rsidTr="00DB2A91">
              <w:tc>
                <w:tcPr>
                  <w:tcW w:w="4705" w:type="dxa"/>
                </w:tcPr>
                <w:p w14:paraId="599969AC"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r w:rsidRPr="00585F66">
                    <w:rPr>
                      <w:rFonts w:asciiTheme="minorHAnsi" w:hAnsiTheme="minorHAnsi" w:cstheme="minorHAnsi"/>
                      <w:color w:val="000000" w:themeColor="text1"/>
                      <w:sz w:val="22"/>
                      <w:szCs w:val="22"/>
                    </w:rPr>
                    <w:t>G-Sec (having 10% haircut)</w:t>
                  </w:r>
                </w:p>
              </w:tc>
              <w:tc>
                <w:tcPr>
                  <w:tcW w:w="810" w:type="dxa"/>
                </w:tcPr>
                <w:p w14:paraId="6D77C10D"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B</w:t>
                  </w:r>
                </w:p>
              </w:tc>
              <w:tc>
                <w:tcPr>
                  <w:tcW w:w="1503" w:type="dxa"/>
                </w:tcPr>
                <w:p w14:paraId="2635FA33"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Rs. 100</w:t>
                  </w:r>
                </w:p>
              </w:tc>
            </w:tr>
            <w:tr w:rsidR="00585F66" w:rsidRPr="00585F66" w14:paraId="73F9CBEA" w14:textId="77777777" w:rsidTr="00DB2A91">
              <w:tc>
                <w:tcPr>
                  <w:tcW w:w="4705" w:type="dxa"/>
                </w:tcPr>
                <w:p w14:paraId="571AF288"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TOTAL MARKETABLE SECURITIES</w:t>
                  </w:r>
                </w:p>
              </w:tc>
              <w:tc>
                <w:tcPr>
                  <w:tcW w:w="810" w:type="dxa"/>
                </w:tcPr>
                <w:p w14:paraId="3FD74251"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A+B</w:t>
                  </w:r>
                </w:p>
              </w:tc>
              <w:tc>
                <w:tcPr>
                  <w:tcW w:w="1503" w:type="dxa"/>
                </w:tcPr>
                <w:p w14:paraId="40180161"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Rs. 300</w:t>
                  </w:r>
                </w:p>
              </w:tc>
            </w:tr>
            <w:tr w:rsidR="00585F66" w:rsidRPr="00585F66" w14:paraId="1C79B99C" w14:textId="77777777" w:rsidTr="00DB2A91">
              <w:tc>
                <w:tcPr>
                  <w:tcW w:w="4705" w:type="dxa"/>
                </w:tcPr>
                <w:p w14:paraId="5110BC81" w14:textId="77777777" w:rsidR="00147DF7" w:rsidRPr="00585F66" w:rsidRDefault="00147DF7" w:rsidP="007E2B56">
                  <w:pPr>
                    <w:pStyle w:val="NoSpacing"/>
                    <w:rPr>
                      <w:rFonts w:cstheme="minorHAnsi"/>
                      <w:b/>
                      <w:bCs/>
                      <w:color w:val="000000" w:themeColor="text1"/>
                    </w:rPr>
                  </w:pPr>
                  <w:r w:rsidRPr="00585F66">
                    <w:rPr>
                      <w:rFonts w:cstheme="minorHAnsi"/>
                      <w:b/>
                      <w:bCs/>
                      <w:color w:val="000000" w:themeColor="text1"/>
                    </w:rPr>
                    <w:t>Deduction from Networth</w:t>
                  </w:r>
                </w:p>
                <w:p w14:paraId="0A1C7B4E" w14:textId="77777777" w:rsidR="00147DF7" w:rsidRPr="00585F66" w:rsidRDefault="00147DF7" w:rsidP="007E2B56">
                  <w:pPr>
                    <w:pStyle w:val="NoSpacing"/>
                    <w:rPr>
                      <w:rFonts w:cstheme="minorHAnsi"/>
                      <w:color w:val="000000" w:themeColor="text1"/>
                    </w:rPr>
                  </w:pPr>
                  <w:r w:rsidRPr="00585F66">
                    <w:rPr>
                      <w:rFonts w:cstheme="minorHAnsi"/>
                      <w:color w:val="000000" w:themeColor="text1"/>
                    </w:rPr>
                    <w:t>30% of Listed Shares – (30% of Rs. 200) - Rs. 60/-</w:t>
                  </w:r>
                </w:p>
                <w:p w14:paraId="01B31C08" w14:textId="77777777" w:rsidR="00147DF7" w:rsidRPr="00585F66" w:rsidRDefault="00147DF7" w:rsidP="007E2B56">
                  <w:pPr>
                    <w:pStyle w:val="NoSpacing"/>
                    <w:rPr>
                      <w:rFonts w:cstheme="minorHAnsi"/>
                      <w:color w:val="000000" w:themeColor="text1"/>
                    </w:rPr>
                  </w:pPr>
                  <w:r w:rsidRPr="00585F66">
                    <w:rPr>
                      <w:rFonts w:cstheme="minorHAnsi"/>
                      <w:color w:val="000000" w:themeColor="text1"/>
                    </w:rPr>
                    <w:t>10% of G Sec – 10% of Rs. 100 - Rs. 10</w:t>
                  </w:r>
                </w:p>
              </w:tc>
              <w:tc>
                <w:tcPr>
                  <w:tcW w:w="810" w:type="dxa"/>
                </w:tcPr>
                <w:p w14:paraId="4F471754"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p>
              </w:tc>
              <w:tc>
                <w:tcPr>
                  <w:tcW w:w="1503" w:type="dxa"/>
                </w:tcPr>
                <w:p w14:paraId="7556C2BD" w14:textId="77777777" w:rsidR="00147DF7" w:rsidRPr="00585F66" w:rsidRDefault="00147DF7" w:rsidP="007E2B56">
                  <w:pPr>
                    <w:pStyle w:val="NormalWeb"/>
                    <w:jc w:val="both"/>
                    <w:rPr>
                      <w:rFonts w:asciiTheme="minorHAnsi" w:hAnsiTheme="minorHAnsi" w:cstheme="minorHAnsi"/>
                      <w:b/>
                      <w:bCs/>
                      <w:color w:val="000000" w:themeColor="text1"/>
                      <w:sz w:val="22"/>
                      <w:szCs w:val="22"/>
                    </w:rPr>
                  </w:pPr>
                  <w:r w:rsidRPr="00585F66">
                    <w:rPr>
                      <w:rFonts w:asciiTheme="minorHAnsi" w:hAnsiTheme="minorHAnsi" w:cstheme="minorHAnsi"/>
                      <w:b/>
                      <w:bCs/>
                      <w:color w:val="000000" w:themeColor="text1"/>
                      <w:sz w:val="22"/>
                      <w:szCs w:val="22"/>
                    </w:rPr>
                    <w:t>Rs. 70</w:t>
                  </w:r>
                </w:p>
              </w:tc>
            </w:tr>
          </w:tbl>
          <w:p w14:paraId="04D24D59" w14:textId="77777777"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 xml:space="preserve">In this process, for those securities / other type of mutual funds wherever hair cut applied by Clearing Corporation is higher than 30%, maximum ceiling percentage of 30% given as per </w:t>
            </w:r>
            <w:proofErr w:type="spellStart"/>
            <w:r w:rsidRPr="00585F66">
              <w:rPr>
                <w:rFonts w:asciiTheme="minorHAnsi" w:hAnsiTheme="minorHAnsi" w:cstheme="minorHAnsi"/>
                <w:color w:val="000000" w:themeColor="text1"/>
                <w:sz w:val="22"/>
                <w:szCs w:val="22"/>
              </w:rPr>
              <w:t>Dr</w:t>
            </w:r>
            <w:proofErr w:type="spellEnd"/>
            <w:r w:rsidRPr="00585F66">
              <w:rPr>
                <w:rFonts w:asciiTheme="minorHAnsi" w:hAnsiTheme="minorHAnsi" w:cstheme="minorHAnsi"/>
                <w:color w:val="000000" w:themeColor="text1"/>
                <w:sz w:val="22"/>
                <w:szCs w:val="22"/>
              </w:rPr>
              <w:t xml:space="preserve"> L C Gupta formula shall be applicable.</w:t>
            </w:r>
          </w:p>
          <w:p w14:paraId="4FB23396" w14:textId="734F1F58" w:rsidR="00147DF7" w:rsidRPr="00585F66" w:rsidRDefault="00147DF7" w:rsidP="007E2B56">
            <w:pPr>
              <w:pStyle w:val="NormalWeb"/>
              <w:jc w:val="both"/>
              <w:rPr>
                <w:rFonts w:asciiTheme="minorHAnsi" w:hAnsiTheme="minorHAnsi" w:cstheme="minorHAnsi"/>
                <w:color w:val="000000" w:themeColor="text1"/>
                <w:sz w:val="22"/>
                <w:szCs w:val="22"/>
              </w:rPr>
            </w:pPr>
            <w:r w:rsidRPr="00585F66">
              <w:rPr>
                <w:rFonts w:asciiTheme="minorHAnsi" w:hAnsiTheme="minorHAnsi" w:cstheme="minorHAnsi"/>
                <w:color w:val="000000" w:themeColor="text1"/>
                <w:sz w:val="22"/>
                <w:szCs w:val="22"/>
              </w:rPr>
              <w:t>Further, whenever member is dealing with more than one Exchanges / Clearing Corporations then for the purpose of haircut, maximum applicable haircut / VAR by any of the Clearing Corporations with shall be taken for valuation of such securities (Liquid and Debt Mutual Funds, G-Sec, non-government debt securities, corporate bonds, T-bills &amp; Sovereign Gold bonds).</w:t>
            </w:r>
          </w:p>
        </w:tc>
      </w:tr>
    </w:tbl>
    <w:p w14:paraId="665F6D62" w14:textId="77777777" w:rsidR="00147DF7" w:rsidRPr="00585F66" w:rsidRDefault="00147DF7" w:rsidP="00147DF7">
      <w:pPr>
        <w:rPr>
          <w:rFonts w:cstheme="minorHAnsi"/>
          <w:color w:val="000000" w:themeColor="text1"/>
        </w:rPr>
      </w:pPr>
    </w:p>
    <w:p w14:paraId="75F437F2" w14:textId="77777777" w:rsidR="00B81F65" w:rsidRPr="00585F66" w:rsidRDefault="00B81F65" w:rsidP="00147DF7">
      <w:pPr>
        <w:pStyle w:val="NoSpacing"/>
        <w:rPr>
          <w:rFonts w:asciiTheme="minorHAnsi" w:hAnsiTheme="minorHAnsi" w:cstheme="minorHAnsi"/>
          <w:b/>
          <w:color w:val="000000" w:themeColor="text1"/>
          <w:sz w:val="28"/>
          <w:szCs w:val="20"/>
        </w:rPr>
      </w:pPr>
    </w:p>
    <w:p w14:paraId="35132C9C" w14:textId="77777777" w:rsidR="00A80B50" w:rsidRPr="00585F66" w:rsidRDefault="00A80B50" w:rsidP="00B81F65">
      <w:pPr>
        <w:pStyle w:val="NoSpacing"/>
        <w:jc w:val="right"/>
        <w:rPr>
          <w:rFonts w:asciiTheme="minorHAnsi" w:hAnsiTheme="minorHAnsi" w:cstheme="minorHAnsi"/>
          <w:b/>
          <w:color w:val="000000" w:themeColor="text1"/>
          <w:sz w:val="28"/>
          <w:szCs w:val="20"/>
        </w:rPr>
      </w:pPr>
    </w:p>
    <w:p w14:paraId="3BA33384" w14:textId="77777777" w:rsidR="00862CE9" w:rsidRPr="00585F66" w:rsidRDefault="00862CE9" w:rsidP="00D62098">
      <w:pPr>
        <w:pStyle w:val="NoSpacing"/>
        <w:jc w:val="right"/>
        <w:rPr>
          <w:rFonts w:asciiTheme="minorHAnsi" w:hAnsiTheme="minorHAnsi" w:cstheme="minorHAnsi"/>
          <w:b/>
          <w:color w:val="000000" w:themeColor="text1"/>
          <w:sz w:val="28"/>
          <w:szCs w:val="20"/>
        </w:rPr>
      </w:pPr>
    </w:p>
    <w:p w14:paraId="7EFC166E" w14:textId="77777777" w:rsidR="00147DF7" w:rsidRPr="00585F66" w:rsidRDefault="00147DF7" w:rsidP="00D62098">
      <w:pPr>
        <w:pStyle w:val="NoSpacing"/>
        <w:jc w:val="right"/>
        <w:rPr>
          <w:rFonts w:asciiTheme="minorHAnsi" w:hAnsiTheme="minorHAnsi" w:cstheme="minorHAnsi"/>
          <w:b/>
          <w:color w:val="000000" w:themeColor="text1"/>
          <w:sz w:val="28"/>
          <w:szCs w:val="20"/>
        </w:rPr>
      </w:pPr>
    </w:p>
    <w:p w14:paraId="28BF589A" w14:textId="77777777" w:rsidR="0050581A" w:rsidRDefault="0050581A">
      <w:pPr>
        <w:rPr>
          <w:rFonts w:cstheme="minorHAnsi"/>
          <w:b/>
          <w:color w:val="000000" w:themeColor="text1"/>
          <w:sz w:val="28"/>
        </w:rPr>
      </w:pPr>
      <w:r>
        <w:rPr>
          <w:rFonts w:cstheme="minorHAnsi"/>
          <w:b/>
          <w:color w:val="000000" w:themeColor="text1"/>
          <w:sz w:val="28"/>
        </w:rPr>
        <w:br w:type="page"/>
      </w:r>
    </w:p>
    <w:p w14:paraId="4FB6D3F3" w14:textId="77777777" w:rsidR="0050581A" w:rsidRDefault="0050581A" w:rsidP="00553856">
      <w:pPr>
        <w:jc w:val="right"/>
        <w:rPr>
          <w:rFonts w:cstheme="minorHAnsi"/>
          <w:b/>
          <w:color w:val="000000" w:themeColor="text1"/>
          <w:sz w:val="28"/>
        </w:rPr>
      </w:pPr>
    </w:p>
    <w:p w14:paraId="67E25BE9" w14:textId="1D823F33" w:rsidR="00553856" w:rsidRPr="00585F66" w:rsidRDefault="00553856" w:rsidP="00553856">
      <w:pPr>
        <w:jc w:val="right"/>
        <w:rPr>
          <w:rFonts w:cstheme="minorHAnsi"/>
          <w:b/>
          <w:color w:val="000000" w:themeColor="text1"/>
          <w:sz w:val="28"/>
        </w:rPr>
      </w:pPr>
      <w:r w:rsidRPr="00585F66">
        <w:rPr>
          <w:rFonts w:cstheme="minorHAnsi"/>
          <w:b/>
          <w:color w:val="000000" w:themeColor="text1"/>
          <w:sz w:val="28"/>
        </w:rPr>
        <w:t xml:space="preserve">Annexure </w:t>
      </w:r>
      <w:r w:rsidR="00251DB5" w:rsidRPr="00585F66">
        <w:rPr>
          <w:rFonts w:cstheme="minorHAnsi"/>
          <w:b/>
          <w:color w:val="000000" w:themeColor="text1"/>
          <w:sz w:val="28"/>
        </w:rPr>
        <w:t>2</w:t>
      </w:r>
    </w:p>
    <w:p w14:paraId="71ECF7E5" w14:textId="77777777" w:rsidR="00553856" w:rsidRPr="00585F66" w:rsidRDefault="00553856" w:rsidP="00553856">
      <w:pPr>
        <w:rPr>
          <w:rFonts w:cstheme="minorHAnsi"/>
          <w:b/>
          <w:color w:val="000000" w:themeColor="text1"/>
          <w:sz w:val="28"/>
          <w:szCs w:val="28"/>
        </w:rPr>
      </w:pPr>
      <w:r w:rsidRPr="00585F66">
        <w:rPr>
          <w:rFonts w:cstheme="minorHAnsi"/>
          <w:b/>
          <w:color w:val="000000" w:themeColor="text1"/>
          <w:sz w:val="28"/>
          <w:szCs w:val="28"/>
        </w:rPr>
        <w:t>Financial Strength details</w:t>
      </w:r>
      <w:r w:rsidR="00C463DC" w:rsidRPr="00585F66">
        <w:rPr>
          <w:rFonts w:cstheme="minorHAnsi"/>
          <w:b/>
          <w:color w:val="000000" w:themeColor="text1"/>
          <w:sz w:val="28"/>
          <w:szCs w:val="28"/>
        </w:rPr>
        <w:t>:</w:t>
      </w:r>
    </w:p>
    <w:tbl>
      <w:tblPr>
        <w:tblStyle w:val="TableGrid"/>
        <w:tblW w:w="9636" w:type="dxa"/>
        <w:tblLook w:val="04A0" w:firstRow="1" w:lastRow="0" w:firstColumn="1" w:lastColumn="0" w:noHBand="0" w:noVBand="1"/>
      </w:tblPr>
      <w:tblGrid>
        <w:gridCol w:w="4106"/>
        <w:gridCol w:w="2835"/>
        <w:gridCol w:w="2695"/>
      </w:tblGrid>
      <w:tr w:rsidR="00585F66" w:rsidRPr="00585F66" w14:paraId="4E9CB843" w14:textId="77777777" w:rsidTr="003F27A8">
        <w:trPr>
          <w:trHeight w:val="427"/>
        </w:trPr>
        <w:tc>
          <w:tcPr>
            <w:tcW w:w="4106" w:type="dxa"/>
            <w:vAlign w:val="center"/>
          </w:tcPr>
          <w:p w14:paraId="2AEF0EDE" w14:textId="77777777" w:rsidR="00553856" w:rsidRPr="00585F66" w:rsidRDefault="00553856" w:rsidP="003F27A8">
            <w:pPr>
              <w:jc w:val="center"/>
              <w:rPr>
                <w:rFonts w:cstheme="minorHAnsi"/>
                <w:color w:val="000000" w:themeColor="text1"/>
              </w:rPr>
            </w:pPr>
            <w:r w:rsidRPr="00585F66">
              <w:rPr>
                <w:rFonts w:cstheme="minorHAnsi"/>
                <w:b/>
                <w:bCs/>
                <w:color w:val="000000" w:themeColor="text1"/>
                <w:shd w:val="clear" w:color="auto" w:fill="FFFFFF"/>
              </w:rPr>
              <w:t>Particulars</w:t>
            </w:r>
          </w:p>
        </w:tc>
        <w:tc>
          <w:tcPr>
            <w:tcW w:w="2835" w:type="dxa"/>
            <w:vAlign w:val="center"/>
          </w:tcPr>
          <w:p w14:paraId="301A2C19" w14:textId="77777777" w:rsidR="00553856" w:rsidRPr="00585F66" w:rsidRDefault="00553856" w:rsidP="003F27A8">
            <w:pPr>
              <w:jc w:val="center"/>
              <w:rPr>
                <w:rFonts w:cstheme="minorHAnsi"/>
                <w:color w:val="000000" w:themeColor="text1"/>
              </w:rPr>
            </w:pPr>
            <w:r w:rsidRPr="00585F66">
              <w:rPr>
                <w:rFonts w:cstheme="minorHAnsi"/>
                <w:b/>
                <w:color w:val="000000" w:themeColor="text1"/>
              </w:rPr>
              <w:t>Current</w:t>
            </w:r>
            <w:r w:rsidRPr="00585F66">
              <w:rPr>
                <w:rFonts w:cstheme="minorHAnsi"/>
                <w:color w:val="000000" w:themeColor="text1"/>
              </w:rPr>
              <w:t xml:space="preserve"> </w:t>
            </w:r>
            <w:r w:rsidRPr="00585F66">
              <w:rPr>
                <w:rFonts w:cstheme="minorHAnsi"/>
                <w:b/>
                <w:bCs/>
                <w:color w:val="000000" w:themeColor="text1"/>
                <w:shd w:val="clear" w:color="auto" w:fill="FFFFFF"/>
              </w:rPr>
              <w:t>Financial year</w:t>
            </w:r>
          </w:p>
        </w:tc>
        <w:tc>
          <w:tcPr>
            <w:tcW w:w="2695" w:type="dxa"/>
            <w:vAlign w:val="center"/>
          </w:tcPr>
          <w:p w14:paraId="771A7F90" w14:textId="77777777" w:rsidR="00553856" w:rsidRPr="00585F66" w:rsidRDefault="00553856" w:rsidP="003F27A8">
            <w:pPr>
              <w:jc w:val="center"/>
              <w:rPr>
                <w:rFonts w:cstheme="minorHAnsi"/>
                <w:color w:val="000000" w:themeColor="text1"/>
              </w:rPr>
            </w:pPr>
            <w:r w:rsidRPr="00585F66">
              <w:rPr>
                <w:rFonts w:cstheme="minorHAnsi"/>
                <w:b/>
                <w:bCs/>
                <w:color w:val="000000" w:themeColor="text1"/>
                <w:shd w:val="clear" w:color="auto" w:fill="FFFFFF"/>
              </w:rPr>
              <w:t>Previous Financial year</w:t>
            </w:r>
          </w:p>
        </w:tc>
      </w:tr>
      <w:tr w:rsidR="00585F66" w:rsidRPr="00585F66" w14:paraId="3430F75B" w14:textId="77777777" w:rsidTr="003F27A8">
        <w:trPr>
          <w:trHeight w:val="427"/>
        </w:trPr>
        <w:tc>
          <w:tcPr>
            <w:tcW w:w="4106" w:type="dxa"/>
            <w:vAlign w:val="center"/>
          </w:tcPr>
          <w:p w14:paraId="6D55D367" w14:textId="77777777" w:rsidR="00553856" w:rsidRPr="00585F66" w:rsidRDefault="00553856" w:rsidP="003F27A8">
            <w:pPr>
              <w:pStyle w:val="NoSpacing"/>
            </w:pPr>
            <w:r w:rsidRPr="00585F66">
              <w:t>Share Capital</w:t>
            </w:r>
          </w:p>
        </w:tc>
        <w:tc>
          <w:tcPr>
            <w:tcW w:w="2835" w:type="dxa"/>
          </w:tcPr>
          <w:p w14:paraId="109C1A4C" w14:textId="77777777" w:rsidR="00553856" w:rsidRPr="00585F66" w:rsidRDefault="00553856" w:rsidP="00553856">
            <w:pPr>
              <w:rPr>
                <w:rFonts w:cstheme="minorHAnsi"/>
                <w:color w:val="000000" w:themeColor="text1"/>
              </w:rPr>
            </w:pPr>
          </w:p>
        </w:tc>
        <w:tc>
          <w:tcPr>
            <w:tcW w:w="2695" w:type="dxa"/>
          </w:tcPr>
          <w:p w14:paraId="4FA97D19" w14:textId="77777777" w:rsidR="00553856" w:rsidRPr="00585F66" w:rsidRDefault="00553856" w:rsidP="00553856">
            <w:pPr>
              <w:rPr>
                <w:rFonts w:cstheme="minorHAnsi"/>
                <w:color w:val="000000" w:themeColor="text1"/>
              </w:rPr>
            </w:pPr>
          </w:p>
        </w:tc>
      </w:tr>
      <w:tr w:rsidR="00585F66" w:rsidRPr="00585F66" w14:paraId="21063558" w14:textId="77777777" w:rsidTr="003F27A8">
        <w:trPr>
          <w:trHeight w:val="446"/>
        </w:trPr>
        <w:tc>
          <w:tcPr>
            <w:tcW w:w="4106" w:type="dxa"/>
            <w:vAlign w:val="center"/>
          </w:tcPr>
          <w:p w14:paraId="558E3EA4" w14:textId="77777777" w:rsidR="00553856" w:rsidRPr="00585F66" w:rsidRDefault="00553856" w:rsidP="003F27A8">
            <w:pPr>
              <w:pStyle w:val="NoSpacing"/>
              <w:rPr>
                <w:rFonts w:asciiTheme="minorHAnsi" w:hAnsiTheme="minorHAnsi"/>
              </w:rPr>
            </w:pPr>
            <w:r w:rsidRPr="00585F66">
              <w:rPr>
                <w:rFonts w:asciiTheme="minorHAnsi" w:hAnsiTheme="minorHAnsi"/>
              </w:rPr>
              <w:t>Reserves &amp; Surplus</w:t>
            </w:r>
          </w:p>
        </w:tc>
        <w:tc>
          <w:tcPr>
            <w:tcW w:w="2835" w:type="dxa"/>
          </w:tcPr>
          <w:p w14:paraId="4D05F896" w14:textId="77777777" w:rsidR="00553856" w:rsidRPr="00585F66" w:rsidRDefault="00553856" w:rsidP="00553856">
            <w:pPr>
              <w:rPr>
                <w:rFonts w:cstheme="minorHAnsi"/>
                <w:color w:val="000000" w:themeColor="text1"/>
              </w:rPr>
            </w:pPr>
          </w:p>
        </w:tc>
        <w:tc>
          <w:tcPr>
            <w:tcW w:w="2695" w:type="dxa"/>
          </w:tcPr>
          <w:p w14:paraId="791E789E" w14:textId="77777777" w:rsidR="00553856" w:rsidRPr="00585F66" w:rsidRDefault="00553856" w:rsidP="00553856">
            <w:pPr>
              <w:rPr>
                <w:rFonts w:cstheme="minorHAnsi"/>
                <w:color w:val="000000" w:themeColor="text1"/>
              </w:rPr>
            </w:pPr>
          </w:p>
        </w:tc>
      </w:tr>
      <w:tr w:rsidR="00585F66" w:rsidRPr="00585F66" w14:paraId="74F628C1" w14:textId="77777777" w:rsidTr="003F27A8">
        <w:trPr>
          <w:trHeight w:val="427"/>
        </w:trPr>
        <w:tc>
          <w:tcPr>
            <w:tcW w:w="4106" w:type="dxa"/>
            <w:vAlign w:val="center"/>
          </w:tcPr>
          <w:p w14:paraId="063932D6" w14:textId="77777777" w:rsidR="00553856" w:rsidRPr="00585F66" w:rsidRDefault="00553856" w:rsidP="003F27A8">
            <w:pPr>
              <w:pStyle w:val="NoSpacing"/>
              <w:rPr>
                <w:rFonts w:asciiTheme="minorHAnsi" w:hAnsiTheme="minorHAnsi"/>
                <w:b/>
                <w:bCs/>
              </w:rPr>
            </w:pPr>
            <w:r w:rsidRPr="00585F66">
              <w:rPr>
                <w:rFonts w:asciiTheme="minorHAnsi" w:hAnsiTheme="minorHAnsi"/>
              </w:rPr>
              <w:t>Accumulated Losses</w:t>
            </w:r>
          </w:p>
        </w:tc>
        <w:tc>
          <w:tcPr>
            <w:tcW w:w="2835" w:type="dxa"/>
          </w:tcPr>
          <w:p w14:paraId="5B5FE241" w14:textId="77777777" w:rsidR="00553856" w:rsidRPr="00585F66" w:rsidRDefault="00553856" w:rsidP="00553856">
            <w:pPr>
              <w:rPr>
                <w:rFonts w:cstheme="minorHAnsi"/>
                <w:color w:val="000000" w:themeColor="text1"/>
              </w:rPr>
            </w:pPr>
          </w:p>
        </w:tc>
        <w:tc>
          <w:tcPr>
            <w:tcW w:w="2695" w:type="dxa"/>
          </w:tcPr>
          <w:p w14:paraId="0877BF65" w14:textId="77777777" w:rsidR="00553856" w:rsidRPr="00585F66" w:rsidRDefault="00553856" w:rsidP="00553856">
            <w:pPr>
              <w:rPr>
                <w:rFonts w:cstheme="minorHAnsi"/>
                <w:color w:val="000000" w:themeColor="text1"/>
              </w:rPr>
            </w:pPr>
          </w:p>
        </w:tc>
      </w:tr>
      <w:tr w:rsidR="00585F66" w:rsidRPr="00585F66" w14:paraId="33E773E3" w14:textId="77777777" w:rsidTr="003F27A8">
        <w:trPr>
          <w:trHeight w:val="427"/>
        </w:trPr>
        <w:tc>
          <w:tcPr>
            <w:tcW w:w="4106" w:type="dxa"/>
            <w:vAlign w:val="center"/>
          </w:tcPr>
          <w:p w14:paraId="2286749E" w14:textId="77777777" w:rsidR="00553856" w:rsidRPr="00585F66" w:rsidRDefault="00553856" w:rsidP="003F27A8">
            <w:pPr>
              <w:pStyle w:val="NoSpacing"/>
              <w:rPr>
                <w:rFonts w:asciiTheme="minorHAnsi" w:hAnsiTheme="minorHAnsi"/>
                <w:b/>
                <w:bCs/>
              </w:rPr>
            </w:pPr>
            <w:r w:rsidRPr="00585F66">
              <w:rPr>
                <w:rFonts w:asciiTheme="minorHAnsi" w:hAnsiTheme="minorHAnsi"/>
              </w:rPr>
              <w:t>Advance from Customers</w:t>
            </w:r>
          </w:p>
        </w:tc>
        <w:tc>
          <w:tcPr>
            <w:tcW w:w="2835" w:type="dxa"/>
          </w:tcPr>
          <w:p w14:paraId="1B3498A8" w14:textId="77777777" w:rsidR="00553856" w:rsidRPr="00585F66" w:rsidRDefault="00553856" w:rsidP="00553856">
            <w:pPr>
              <w:rPr>
                <w:rFonts w:cstheme="minorHAnsi"/>
                <w:color w:val="000000" w:themeColor="text1"/>
              </w:rPr>
            </w:pPr>
          </w:p>
        </w:tc>
        <w:tc>
          <w:tcPr>
            <w:tcW w:w="2695" w:type="dxa"/>
          </w:tcPr>
          <w:p w14:paraId="4BD134E8" w14:textId="77777777" w:rsidR="00553856" w:rsidRPr="00585F66" w:rsidRDefault="00553856" w:rsidP="00553856">
            <w:pPr>
              <w:rPr>
                <w:rFonts w:cstheme="minorHAnsi"/>
                <w:color w:val="000000" w:themeColor="text1"/>
              </w:rPr>
            </w:pPr>
          </w:p>
        </w:tc>
      </w:tr>
      <w:tr w:rsidR="00585F66" w:rsidRPr="00585F66" w14:paraId="75B02AE5" w14:textId="77777777" w:rsidTr="003F27A8">
        <w:trPr>
          <w:trHeight w:val="427"/>
        </w:trPr>
        <w:tc>
          <w:tcPr>
            <w:tcW w:w="4106" w:type="dxa"/>
            <w:vAlign w:val="center"/>
          </w:tcPr>
          <w:p w14:paraId="51558981" w14:textId="77777777" w:rsidR="00553856" w:rsidRPr="00585F66" w:rsidRDefault="00553856" w:rsidP="003F27A8">
            <w:pPr>
              <w:pStyle w:val="NoSpacing"/>
              <w:rPr>
                <w:rFonts w:asciiTheme="minorHAnsi" w:hAnsiTheme="minorHAnsi"/>
                <w:b/>
                <w:bCs/>
              </w:rPr>
            </w:pPr>
            <w:r w:rsidRPr="00585F66">
              <w:rPr>
                <w:rFonts w:asciiTheme="minorHAnsi" w:hAnsiTheme="minorHAnsi"/>
              </w:rPr>
              <w:t>Margins from customers</w:t>
            </w:r>
          </w:p>
        </w:tc>
        <w:tc>
          <w:tcPr>
            <w:tcW w:w="2835" w:type="dxa"/>
          </w:tcPr>
          <w:p w14:paraId="598902FD" w14:textId="77777777" w:rsidR="00553856" w:rsidRPr="00585F66" w:rsidRDefault="00553856" w:rsidP="00553856">
            <w:pPr>
              <w:rPr>
                <w:rFonts w:cstheme="minorHAnsi"/>
                <w:color w:val="000000" w:themeColor="text1"/>
              </w:rPr>
            </w:pPr>
          </w:p>
        </w:tc>
        <w:tc>
          <w:tcPr>
            <w:tcW w:w="2695" w:type="dxa"/>
          </w:tcPr>
          <w:p w14:paraId="784477AD" w14:textId="77777777" w:rsidR="00553856" w:rsidRPr="00585F66" w:rsidRDefault="00553856" w:rsidP="00553856">
            <w:pPr>
              <w:rPr>
                <w:rFonts w:cstheme="minorHAnsi"/>
                <w:color w:val="000000" w:themeColor="text1"/>
              </w:rPr>
            </w:pPr>
          </w:p>
        </w:tc>
      </w:tr>
      <w:tr w:rsidR="00585F66" w:rsidRPr="00585F66" w14:paraId="42D5056E" w14:textId="77777777" w:rsidTr="003F27A8">
        <w:trPr>
          <w:trHeight w:val="446"/>
        </w:trPr>
        <w:tc>
          <w:tcPr>
            <w:tcW w:w="4106" w:type="dxa"/>
            <w:vAlign w:val="center"/>
          </w:tcPr>
          <w:p w14:paraId="026A878F" w14:textId="77777777" w:rsidR="00553856" w:rsidRPr="00585F66" w:rsidRDefault="00553856" w:rsidP="003F27A8">
            <w:pPr>
              <w:pStyle w:val="NoSpacing"/>
              <w:rPr>
                <w:rFonts w:asciiTheme="minorHAnsi" w:hAnsiTheme="minorHAnsi"/>
                <w:b/>
                <w:bCs/>
              </w:rPr>
            </w:pPr>
            <w:r w:rsidRPr="00585F66">
              <w:rPr>
                <w:rFonts w:asciiTheme="minorHAnsi" w:hAnsiTheme="minorHAnsi"/>
              </w:rPr>
              <w:t>Collaterals from customers</w:t>
            </w:r>
          </w:p>
        </w:tc>
        <w:tc>
          <w:tcPr>
            <w:tcW w:w="2835" w:type="dxa"/>
          </w:tcPr>
          <w:p w14:paraId="4BDF2FDF" w14:textId="77777777" w:rsidR="00553856" w:rsidRPr="00585F66" w:rsidRDefault="00553856" w:rsidP="00553856">
            <w:pPr>
              <w:rPr>
                <w:rFonts w:cstheme="minorHAnsi"/>
                <w:color w:val="000000" w:themeColor="text1"/>
              </w:rPr>
            </w:pPr>
          </w:p>
        </w:tc>
        <w:tc>
          <w:tcPr>
            <w:tcW w:w="2695" w:type="dxa"/>
          </w:tcPr>
          <w:p w14:paraId="4C3C5D53" w14:textId="77777777" w:rsidR="00553856" w:rsidRPr="00585F66" w:rsidRDefault="00553856" w:rsidP="00553856">
            <w:pPr>
              <w:rPr>
                <w:rFonts w:cstheme="minorHAnsi"/>
                <w:color w:val="000000" w:themeColor="text1"/>
              </w:rPr>
            </w:pPr>
          </w:p>
        </w:tc>
      </w:tr>
      <w:tr w:rsidR="00585F66" w:rsidRPr="00585F66" w14:paraId="69F4C7BD" w14:textId="77777777" w:rsidTr="003F27A8">
        <w:trPr>
          <w:trHeight w:val="427"/>
        </w:trPr>
        <w:tc>
          <w:tcPr>
            <w:tcW w:w="4106" w:type="dxa"/>
            <w:vAlign w:val="center"/>
          </w:tcPr>
          <w:p w14:paraId="013E235B" w14:textId="77777777" w:rsidR="00553856" w:rsidRPr="00585F66" w:rsidRDefault="00553856" w:rsidP="003F27A8">
            <w:pPr>
              <w:pStyle w:val="NoSpacing"/>
              <w:rPr>
                <w:rFonts w:asciiTheme="minorHAnsi" w:hAnsiTheme="minorHAnsi"/>
                <w:b/>
                <w:bCs/>
              </w:rPr>
            </w:pPr>
            <w:r w:rsidRPr="00585F66">
              <w:rPr>
                <w:rFonts w:asciiTheme="minorHAnsi" w:hAnsiTheme="minorHAnsi"/>
              </w:rPr>
              <w:t>Inter corporate deposits</w:t>
            </w:r>
          </w:p>
        </w:tc>
        <w:tc>
          <w:tcPr>
            <w:tcW w:w="2835" w:type="dxa"/>
          </w:tcPr>
          <w:p w14:paraId="47DF1E18" w14:textId="77777777" w:rsidR="00553856" w:rsidRPr="00585F66" w:rsidRDefault="00553856" w:rsidP="00553856">
            <w:pPr>
              <w:rPr>
                <w:rFonts w:cstheme="minorHAnsi"/>
                <w:color w:val="000000" w:themeColor="text1"/>
              </w:rPr>
            </w:pPr>
          </w:p>
        </w:tc>
        <w:tc>
          <w:tcPr>
            <w:tcW w:w="2695" w:type="dxa"/>
          </w:tcPr>
          <w:p w14:paraId="559255DC" w14:textId="77777777" w:rsidR="00553856" w:rsidRPr="00585F66" w:rsidRDefault="00553856" w:rsidP="00553856">
            <w:pPr>
              <w:rPr>
                <w:rFonts w:cstheme="minorHAnsi"/>
                <w:color w:val="000000" w:themeColor="text1"/>
              </w:rPr>
            </w:pPr>
          </w:p>
        </w:tc>
      </w:tr>
      <w:tr w:rsidR="00585F66" w:rsidRPr="00585F66" w14:paraId="56D52429" w14:textId="77777777" w:rsidTr="003F27A8">
        <w:trPr>
          <w:trHeight w:val="620"/>
        </w:trPr>
        <w:tc>
          <w:tcPr>
            <w:tcW w:w="4106" w:type="dxa"/>
            <w:vAlign w:val="center"/>
          </w:tcPr>
          <w:p w14:paraId="6E9F904C" w14:textId="77777777" w:rsidR="00553856" w:rsidRPr="00585F66" w:rsidRDefault="00553856" w:rsidP="003F27A8">
            <w:pPr>
              <w:pStyle w:val="NoSpacing"/>
              <w:rPr>
                <w:rFonts w:asciiTheme="minorHAnsi" w:hAnsiTheme="minorHAnsi"/>
                <w:b/>
                <w:bCs/>
              </w:rPr>
            </w:pPr>
            <w:r w:rsidRPr="00585F66">
              <w:rPr>
                <w:rFonts w:asciiTheme="minorHAnsi" w:hAnsiTheme="minorHAnsi"/>
              </w:rPr>
              <w:t>Total outside liabilities other than owed to shareholders</w:t>
            </w:r>
          </w:p>
        </w:tc>
        <w:tc>
          <w:tcPr>
            <w:tcW w:w="2835" w:type="dxa"/>
          </w:tcPr>
          <w:p w14:paraId="7A6FB05D" w14:textId="77777777" w:rsidR="00553856" w:rsidRPr="00585F66" w:rsidRDefault="00553856" w:rsidP="00553856">
            <w:pPr>
              <w:rPr>
                <w:rFonts w:cstheme="minorHAnsi"/>
                <w:color w:val="000000" w:themeColor="text1"/>
              </w:rPr>
            </w:pPr>
          </w:p>
        </w:tc>
        <w:tc>
          <w:tcPr>
            <w:tcW w:w="2695" w:type="dxa"/>
          </w:tcPr>
          <w:p w14:paraId="29CDCA43" w14:textId="77777777" w:rsidR="00553856" w:rsidRPr="00585F66" w:rsidRDefault="00553856" w:rsidP="00553856">
            <w:pPr>
              <w:rPr>
                <w:rFonts w:cstheme="minorHAnsi"/>
                <w:color w:val="000000" w:themeColor="text1"/>
              </w:rPr>
            </w:pPr>
          </w:p>
        </w:tc>
      </w:tr>
      <w:tr w:rsidR="00585F66" w:rsidRPr="00585F66" w14:paraId="3F312ABB" w14:textId="77777777" w:rsidTr="003F27A8">
        <w:trPr>
          <w:trHeight w:val="656"/>
        </w:trPr>
        <w:tc>
          <w:tcPr>
            <w:tcW w:w="4106" w:type="dxa"/>
            <w:vAlign w:val="center"/>
          </w:tcPr>
          <w:p w14:paraId="49D91F19" w14:textId="77777777" w:rsidR="00553856" w:rsidRPr="00585F66" w:rsidRDefault="00553856" w:rsidP="003F27A8">
            <w:pPr>
              <w:pStyle w:val="NoSpacing"/>
              <w:rPr>
                <w:rFonts w:asciiTheme="minorHAnsi" w:hAnsiTheme="minorHAnsi"/>
              </w:rPr>
            </w:pPr>
            <w:r w:rsidRPr="00585F66">
              <w:rPr>
                <w:rFonts w:asciiTheme="minorHAnsi" w:hAnsiTheme="minorHAnsi"/>
              </w:rPr>
              <w:t>Value of investments in group companies and/or associates</w:t>
            </w:r>
          </w:p>
        </w:tc>
        <w:tc>
          <w:tcPr>
            <w:tcW w:w="2835" w:type="dxa"/>
          </w:tcPr>
          <w:p w14:paraId="298AD2A2" w14:textId="77777777" w:rsidR="00553856" w:rsidRPr="00585F66" w:rsidRDefault="00553856" w:rsidP="00553856">
            <w:pPr>
              <w:rPr>
                <w:rFonts w:cstheme="minorHAnsi"/>
                <w:color w:val="000000" w:themeColor="text1"/>
              </w:rPr>
            </w:pPr>
          </w:p>
        </w:tc>
        <w:tc>
          <w:tcPr>
            <w:tcW w:w="2695" w:type="dxa"/>
          </w:tcPr>
          <w:p w14:paraId="4DBF4E71" w14:textId="77777777" w:rsidR="00553856" w:rsidRPr="00585F66" w:rsidRDefault="00553856" w:rsidP="00553856">
            <w:pPr>
              <w:rPr>
                <w:rFonts w:cstheme="minorHAnsi"/>
                <w:color w:val="000000" w:themeColor="text1"/>
              </w:rPr>
            </w:pPr>
          </w:p>
        </w:tc>
      </w:tr>
      <w:tr w:rsidR="00585F66" w:rsidRPr="00585F66" w14:paraId="40A12F24" w14:textId="77777777" w:rsidTr="003F27A8">
        <w:trPr>
          <w:trHeight w:val="665"/>
        </w:trPr>
        <w:tc>
          <w:tcPr>
            <w:tcW w:w="4106" w:type="dxa"/>
            <w:vAlign w:val="center"/>
          </w:tcPr>
          <w:p w14:paraId="5C410E11" w14:textId="77777777" w:rsidR="00553856" w:rsidRPr="00585F66" w:rsidRDefault="00553856" w:rsidP="003F27A8">
            <w:pPr>
              <w:pStyle w:val="NoSpacing"/>
              <w:rPr>
                <w:rFonts w:asciiTheme="minorHAnsi" w:hAnsiTheme="minorHAnsi"/>
              </w:rPr>
            </w:pPr>
            <w:r w:rsidRPr="00585F66">
              <w:rPr>
                <w:rFonts w:asciiTheme="minorHAnsi" w:hAnsiTheme="minorHAnsi"/>
              </w:rPr>
              <w:t>Value of advances given to group companies and/or associates</w:t>
            </w:r>
          </w:p>
        </w:tc>
        <w:tc>
          <w:tcPr>
            <w:tcW w:w="2835" w:type="dxa"/>
          </w:tcPr>
          <w:p w14:paraId="46C57C9D" w14:textId="77777777" w:rsidR="00553856" w:rsidRPr="00585F66" w:rsidRDefault="00553856" w:rsidP="00553856">
            <w:pPr>
              <w:rPr>
                <w:rFonts w:cstheme="minorHAnsi"/>
                <w:color w:val="000000" w:themeColor="text1"/>
              </w:rPr>
            </w:pPr>
          </w:p>
        </w:tc>
        <w:tc>
          <w:tcPr>
            <w:tcW w:w="2695" w:type="dxa"/>
          </w:tcPr>
          <w:p w14:paraId="214A7618" w14:textId="77777777" w:rsidR="00553856" w:rsidRPr="00585F66" w:rsidRDefault="00553856" w:rsidP="00553856">
            <w:pPr>
              <w:rPr>
                <w:rFonts w:cstheme="minorHAnsi"/>
                <w:color w:val="000000" w:themeColor="text1"/>
              </w:rPr>
            </w:pPr>
          </w:p>
        </w:tc>
      </w:tr>
      <w:tr w:rsidR="00585F66" w:rsidRPr="00585F66" w14:paraId="00997CF4" w14:textId="77777777" w:rsidTr="003F27A8">
        <w:trPr>
          <w:trHeight w:val="629"/>
        </w:trPr>
        <w:tc>
          <w:tcPr>
            <w:tcW w:w="4106" w:type="dxa"/>
            <w:vAlign w:val="center"/>
          </w:tcPr>
          <w:p w14:paraId="029A494E" w14:textId="77777777" w:rsidR="00553856" w:rsidRPr="00585F66" w:rsidRDefault="00553856" w:rsidP="003F27A8">
            <w:pPr>
              <w:pStyle w:val="NoSpacing"/>
              <w:rPr>
                <w:rFonts w:asciiTheme="minorHAnsi" w:hAnsiTheme="minorHAnsi"/>
                <w:b/>
                <w:bCs/>
              </w:rPr>
            </w:pPr>
            <w:r w:rsidRPr="00585F66">
              <w:rPr>
                <w:rFonts w:asciiTheme="minorHAnsi" w:hAnsiTheme="minorHAnsi"/>
              </w:rPr>
              <w:t>Value of loans given to group companies and/or associates</w:t>
            </w:r>
          </w:p>
        </w:tc>
        <w:tc>
          <w:tcPr>
            <w:tcW w:w="2835" w:type="dxa"/>
          </w:tcPr>
          <w:p w14:paraId="73FAE4EA" w14:textId="77777777" w:rsidR="00553856" w:rsidRPr="00585F66" w:rsidRDefault="00553856" w:rsidP="00553856">
            <w:pPr>
              <w:rPr>
                <w:rFonts w:cstheme="minorHAnsi"/>
                <w:color w:val="000000" w:themeColor="text1"/>
              </w:rPr>
            </w:pPr>
          </w:p>
        </w:tc>
        <w:tc>
          <w:tcPr>
            <w:tcW w:w="2695" w:type="dxa"/>
          </w:tcPr>
          <w:p w14:paraId="7B2CCBF5" w14:textId="77777777" w:rsidR="00553856" w:rsidRPr="00585F66" w:rsidRDefault="00553856" w:rsidP="00553856">
            <w:pPr>
              <w:rPr>
                <w:rFonts w:cstheme="minorHAnsi"/>
                <w:color w:val="000000" w:themeColor="text1"/>
              </w:rPr>
            </w:pPr>
          </w:p>
        </w:tc>
      </w:tr>
      <w:tr w:rsidR="00585F66" w:rsidRPr="00585F66" w14:paraId="0EDE6688" w14:textId="77777777" w:rsidTr="003F27A8">
        <w:trPr>
          <w:trHeight w:val="611"/>
        </w:trPr>
        <w:tc>
          <w:tcPr>
            <w:tcW w:w="4106" w:type="dxa"/>
            <w:vAlign w:val="center"/>
          </w:tcPr>
          <w:p w14:paraId="1B5B555D" w14:textId="77777777" w:rsidR="00553856" w:rsidRPr="00585F66" w:rsidRDefault="00553856" w:rsidP="003F27A8">
            <w:pPr>
              <w:pStyle w:val="NoSpacing"/>
              <w:rPr>
                <w:rFonts w:asciiTheme="minorHAnsi" w:hAnsiTheme="minorHAnsi"/>
                <w:b/>
                <w:bCs/>
              </w:rPr>
            </w:pPr>
            <w:r w:rsidRPr="00585F66">
              <w:rPr>
                <w:rFonts w:asciiTheme="minorHAnsi" w:hAnsiTheme="minorHAnsi"/>
              </w:rPr>
              <w:t>Value of maximum outstanding inter corporate debt during the year</w:t>
            </w:r>
          </w:p>
        </w:tc>
        <w:tc>
          <w:tcPr>
            <w:tcW w:w="2835" w:type="dxa"/>
          </w:tcPr>
          <w:p w14:paraId="19E69785" w14:textId="77777777" w:rsidR="00553856" w:rsidRPr="00585F66" w:rsidRDefault="00553856" w:rsidP="00553856">
            <w:pPr>
              <w:rPr>
                <w:rFonts w:cstheme="minorHAnsi"/>
                <w:color w:val="000000" w:themeColor="text1"/>
              </w:rPr>
            </w:pPr>
          </w:p>
        </w:tc>
        <w:tc>
          <w:tcPr>
            <w:tcW w:w="2695" w:type="dxa"/>
          </w:tcPr>
          <w:p w14:paraId="3E4F9A47" w14:textId="77777777" w:rsidR="00553856" w:rsidRPr="00585F66" w:rsidRDefault="00553856" w:rsidP="00553856">
            <w:pPr>
              <w:rPr>
                <w:rFonts w:cstheme="minorHAnsi"/>
                <w:color w:val="000000" w:themeColor="text1"/>
              </w:rPr>
            </w:pPr>
          </w:p>
        </w:tc>
      </w:tr>
      <w:tr w:rsidR="00553856" w:rsidRPr="00585F66" w14:paraId="511B4085" w14:textId="77777777" w:rsidTr="003F27A8">
        <w:trPr>
          <w:trHeight w:val="446"/>
        </w:trPr>
        <w:tc>
          <w:tcPr>
            <w:tcW w:w="4106" w:type="dxa"/>
            <w:vAlign w:val="center"/>
          </w:tcPr>
          <w:p w14:paraId="05102B34" w14:textId="77777777" w:rsidR="00553856" w:rsidRPr="00585F66" w:rsidRDefault="00553856" w:rsidP="003F27A8">
            <w:pPr>
              <w:pStyle w:val="NoSpacing"/>
              <w:rPr>
                <w:rFonts w:asciiTheme="minorHAnsi" w:hAnsiTheme="minorHAnsi"/>
              </w:rPr>
            </w:pPr>
            <w:r w:rsidRPr="00585F66">
              <w:rPr>
                <w:rFonts w:asciiTheme="minorHAnsi" w:hAnsiTheme="minorHAnsi"/>
              </w:rPr>
              <w:t>Net worth</w:t>
            </w:r>
          </w:p>
        </w:tc>
        <w:tc>
          <w:tcPr>
            <w:tcW w:w="2835" w:type="dxa"/>
          </w:tcPr>
          <w:p w14:paraId="58561B6B" w14:textId="77777777" w:rsidR="00553856" w:rsidRPr="00585F66" w:rsidRDefault="00553856" w:rsidP="00553856">
            <w:pPr>
              <w:rPr>
                <w:rFonts w:cstheme="minorHAnsi"/>
                <w:color w:val="000000" w:themeColor="text1"/>
              </w:rPr>
            </w:pPr>
          </w:p>
        </w:tc>
        <w:tc>
          <w:tcPr>
            <w:tcW w:w="2695" w:type="dxa"/>
          </w:tcPr>
          <w:p w14:paraId="7A66B42E" w14:textId="77777777" w:rsidR="00553856" w:rsidRPr="00585F66" w:rsidRDefault="00553856" w:rsidP="00553856">
            <w:pPr>
              <w:rPr>
                <w:rFonts w:cstheme="minorHAnsi"/>
                <w:color w:val="000000" w:themeColor="text1"/>
              </w:rPr>
            </w:pPr>
          </w:p>
        </w:tc>
      </w:tr>
      <w:bookmarkEnd w:id="0"/>
    </w:tbl>
    <w:p w14:paraId="1D87193E" w14:textId="77777777" w:rsidR="00553856" w:rsidRPr="00585F66" w:rsidRDefault="00553856" w:rsidP="009D32A5">
      <w:pPr>
        <w:rPr>
          <w:rFonts w:cstheme="minorHAnsi"/>
          <w:color w:val="000000" w:themeColor="text1"/>
        </w:rPr>
      </w:pPr>
    </w:p>
    <w:sectPr w:rsidR="00553856" w:rsidRPr="00585F66" w:rsidSect="008E4821">
      <w:footerReference w:type="default" r:id="rId9"/>
      <w:pgSz w:w="11906" w:h="16838"/>
      <w:pgMar w:top="360" w:right="1267" w:bottom="540" w:left="135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93A29" w14:textId="77777777" w:rsidR="0056194B" w:rsidRDefault="0056194B" w:rsidP="003A5290">
      <w:pPr>
        <w:spacing w:after="0" w:line="240" w:lineRule="auto"/>
      </w:pPr>
      <w:r>
        <w:separator/>
      </w:r>
    </w:p>
  </w:endnote>
  <w:endnote w:type="continuationSeparator" w:id="0">
    <w:p w14:paraId="256B6005" w14:textId="77777777" w:rsidR="0056194B" w:rsidRDefault="0056194B" w:rsidP="003A5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OKO J+ Century Old">
    <w:altName w:val="Century Old 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1333E" w14:textId="77777777" w:rsidR="00054247" w:rsidRDefault="00054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A73C4" w14:textId="77777777" w:rsidR="0056194B" w:rsidRDefault="0056194B" w:rsidP="003A5290">
      <w:pPr>
        <w:spacing w:after="0" w:line="240" w:lineRule="auto"/>
      </w:pPr>
      <w:r>
        <w:separator/>
      </w:r>
    </w:p>
  </w:footnote>
  <w:footnote w:type="continuationSeparator" w:id="0">
    <w:p w14:paraId="57C7005A" w14:textId="77777777" w:rsidR="0056194B" w:rsidRDefault="0056194B" w:rsidP="003A52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29F"/>
    <w:multiLevelType w:val="hybridMultilevel"/>
    <w:tmpl w:val="AD0C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F01FF"/>
    <w:multiLevelType w:val="hybridMultilevel"/>
    <w:tmpl w:val="5E10FF28"/>
    <w:lvl w:ilvl="0" w:tplc="5A4EC48A">
      <w:start w:val="1"/>
      <w:numFmt w:val="lowerLetter"/>
      <w:lvlText w:val="%1."/>
      <w:lvlJc w:val="left"/>
      <w:pPr>
        <w:ind w:left="810" w:hanging="360"/>
      </w:pPr>
    </w:lvl>
    <w:lvl w:ilvl="1" w:tplc="40090019">
      <w:start w:val="1"/>
      <w:numFmt w:val="lowerLetter"/>
      <w:lvlText w:val="%2."/>
      <w:lvlJc w:val="left"/>
      <w:pPr>
        <w:ind w:left="1530" w:hanging="360"/>
      </w:pPr>
    </w:lvl>
    <w:lvl w:ilvl="2" w:tplc="4009001B">
      <w:start w:val="1"/>
      <w:numFmt w:val="lowerRoman"/>
      <w:lvlText w:val="%3."/>
      <w:lvlJc w:val="right"/>
      <w:pPr>
        <w:ind w:left="2250" w:hanging="180"/>
      </w:pPr>
    </w:lvl>
    <w:lvl w:ilvl="3" w:tplc="4009000F">
      <w:start w:val="1"/>
      <w:numFmt w:val="decimal"/>
      <w:lvlText w:val="%4."/>
      <w:lvlJc w:val="left"/>
      <w:pPr>
        <w:ind w:left="2970" w:hanging="360"/>
      </w:pPr>
    </w:lvl>
    <w:lvl w:ilvl="4" w:tplc="40090019">
      <w:start w:val="1"/>
      <w:numFmt w:val="lowerLetter"/>
      <w:lvlText w:val="%5."/>
      <w:lvlJc w:val="left"/>
      <w:pPr>
        <w:ind w:left="3690" w:hanging="360"/>
      </w:pPr>
    </w:lvl>
    <w:lvl w:ilvl="5" w:tplc="4009001B">
      <w:start w:val="1"/>
      <w:numFmt w:val="lowerRoman"/>
      <w:lvlText w:val="%6."/>
      <w:lvlJc w:val="right"/>
      <w:pPr>
        <w:ind w:left="4410" w:hanging="180"/>
      </w:pPr>
    </w:lvl>
    <w:lvl w:ilvl="6" w:tplc="4009000F">
      <w:start w:val="1"/>
      <w:numFmt w:val="decimal"/>
      <w:lvlText w:val="%7."/>
      <w:lvlJc w:val="left"/>
      <w:pPr>
        <w:ind w:left="5130" w:hanging="360"/>
      </w:pPr>
    </w:lvl>
    <w:lvl w:ilvl="7" w:tplc="40090019">
      <w:start w:val="1"/>
      <w:numFmt w:val="lowerLetter"/>
      <w:lvlText w:val="%8."/>
      <w:lvlJc w:val="left"/>
      <w:pPr>
        <w:ind w:left="5850" w:hanging="360"/>
      </w:pPr>
    </w:lvl>
    <w:lvl w:ilvl="8" w:tplc="4009001B">
      <w:start w:val="1"/>
      <w:numFmt w:val="lowerRoman"/>
      <w:lvlText w:val="%9."/>
      <w:lvlJc w:val="right"/>
      <w:pPr>
        <w:ind w:left="6570" w:hanging="180"/>
      </w:pPr>
    </w:lvl>
  </w:abstractNum>
  <w:abstractNum w:abstractNumId="2">
    <w:nsid w:val="0B8B74A7"/>
    <w:multiLevelType w:val="hybridMultilevel"/>
    <w:tmpl w:val="4072DED8"/>
    <w:lvl w:ilvl="0" w:tplc="5D305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1E55B7"/>
    <w:multiLevelType w:val="hybridMultilevel"/>
    <w:tmpl w:val="FDB49F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714BE1"/>
    <w:multiLevelType w:val="hybridMultilevel"/>
    <w:tmpl w:val="734ED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C1C0B"/>
    <w:multiLevelType w:val="hybridMultilevel"/>
    <w:tmpl w:val="96024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4713E"/>
    <w:multiLevelType w:val="hybridMultilevel"/>
    <w:tmpl w:val="A3F2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19100C"/>
    <w:multiLevelType w:val="hybridMultilevel"/>
    <w:tmpl w:val="B3C87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5703C"/>
    <w:multiLevelType w:val="hybridMultilevel"/>
    <w:tmpl w:val="1206CCF8"/>
    <w:lvl w:ilvl="0" w:tplc="4009001B">
      <w:start w:val="1"/>
      <w:numFmt w:val="lowerRoman"/>
      <w:lvlText w:val="%1."/>
      <w:lvlJc w:val="righ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C0B2E"/>
    <w:multiLevelType w:val="hybridMultilevel"/>
    <w:tmpl w:val="AFA6EEB0"/>
    <w:lvl w:ilvl="0" w:tplc="8990C6DE">
      <w:start w:val="1"/>
      <w:numFmt w:val="low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9A7239"/>
    <w:multiLevelType w:val="hybridMultilevel"/>
    <w:tmpl w:val="6AE2C98E"/>
    <w:lvl w:ilvl="0" w:tplc="4754B88E">
      <w:start w:val="1"/>
      <w:numFmt w:val="decimal"/>
      <w:lvlText w:val="%1."/>
      <w:lvlJc w:val="left"/>
      <w:pPr>
        <w:ind w:left="1800" w:hanging="360"/>
      </w:pPr>
      <w:rPr>
        <w:rFonts w:ascii="Calibri" w:eastAsia="Calibri" w:hAnsi="Calibri" w:cs="Calibri"/>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970F2"/>
    <w:multiLevelType w:val="hybridMultilevel"/>
    <w:tmpl w:val="FDB49F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E1F1210"/>
    <w:multiLevelType w:val="hybridMultilevel"/>
    <w:tmpl w:val="734ED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F38C0"/>
    <w:multiLevelType w:val="hybridMultilevel"/>
    <w:tmpl w:val="E10289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B302DC"/>
    <w:multiLevelType w:val="hybridMultilevel"/>
    <w:tmpl w:val="2CAC2090"/>
    <w:lvl w:ilvl="0" w:tplc="A82E6098">
      <w:start w:val="1"/>
      <w:numFmt w:val="lowerRoman"/>
      <w:lvlText w:val="%1."/>
      <w:lvlJc w:val="left"/>
      <w:pPr>
        <w:ind w:left="720" w:hanging="72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5E20FD"/>
    <w:multiLevelType w:val="hybridMultilevel"/>
    <w:tmpl w:val="0E96DA4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80007A"/>
    <w:multiLevelType w:val="hybridMultilevel"/>
    <w:tmpl w:val="FDB49F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45F618D"/>
    <w:multiLevelType w:val="hybridMultilevel"/>
    <w:tmpl w:val="09EA8F1C"/>
    <w:lvl w:ilvl="0" w:tplc="54BE8656">
      <w:start w:val="5"/>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56E7D89"/>
    <w:multiLevelType w:val="hybridMultilevel"/>
    <w:tmpl w:val="82D0EA68"/>
    <w:lvl w:ilvl="0" w:tplc="4E6E4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763B30"/>
    <w:multiLevelType w:val="singleLevel"/>
    <w:tmpl w:val="44D4FF1C"/>
    <w:lvl w:ilvl="0">
      <w:start w:val="1"/>
      <w:numFmt w:val="lowerLetter"/>
      <w:lvlText w:val="(%1)"/>
      <w:lvlJc w:val="left"/>
      <w:pPr>
        <w:tabs>
          <w:tab w:val="num" w:pos="360"/>
        </w:tabs>
        <w:ind w:left="360" w:hanging="360"/>
      </w:pPr>
      <w:rPr>
        <w:rFonts w:hint="default"/>
      </w:rPr>
    </w:lvl>
  </w:abstractNum>
  <w:abstractNum w:abstractNumId="20">
    <w:nsid w:val="36494E4C"/>
    <w:multiLevelType w:val="hybridMultilevel"/>
    <w:tmpl w:val="002E649E"/>
    <w:lvl w:ilvl="0" w:tplc="71BCDA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ABF71E1"/>
    <w:multiLevelType w:val="hybridMultilevel"/>
    <w:tmpl w:val="4F8874A6"/>
    <w:lvl w:ilvl="0" w:tplc="40090019">
      <w:start w:val="1"/>
      <w:numFmt w:val="lowerLetter"/>
      <w:lvlText w:val="%1."/>
      <w:lvlJc w:val="left"/>
      <w:pPr>
        <w:ind w:left="363" w:hanging="360"/>
      </w:pPr>
      <w:rPr>
        <w:rFonts w:hint="default"/>
      </w:rPr>
    </w:lvl>
    <w:lvl w:ilvl="1" w:tplc="C4F43B86">
      <w:start w:val="1"/>
      <w:numFmt w:val="decimal"/>
      <w:lvlText w:val="%2."/>
      <w:lvlJc w:val="left"/>
      <w:pPr>
        <w:ind w:left="1083" w:hanging="360"/>
      </w:pPr>
      <w:rPr>
        <w:rFonts w:hint="default"/>
      </w:rPr>
    </w:lvl>
    <w:lvl w:ilvl="2" w:tplc="4009001B" w:tentative="1">
      <w:start w:val="1"/>
      <w:numFmt w:val="lowerRoman"/>
      <w:lvlText w:val="%3."/>
      <w:lvlJc w:val="right"/>
      <w:pPr>
        <w:ind w:left="1803" w:hanging="180"/>
      </w:pPr>
    </w:lvl>
    <w:lvl w:ilvl="3" w:tplc="4009000F" w:tentative="1">
      <w:start w:val="1"/>
      <w:numFmt w:val="decimal"/>
      <w:lvlText w:val="%4."/>
      <w:lvlJc w:val="left"/>
      <w:pPr>
        <w:ind w:left="2523" w:hanging="360"/>
      </w:pPr>
    </w:lvl>
    <w:lvl w:ilvl="4" w:tplc="40090019" w:tentative="1">
      <w:start w:val="1"/>
      <w:numFmt w:val="lowerLetter"/>
      <w:lvlText w:val="%5."/>
      <w:lvlJc w:val="left"/>
      <w:pPr>
        <w:ind w:left="3243" w:hanging="360"/>
      </w:pPr>
    </w:lvl>
    <w:lvl w:ilvl="5" w:tplc="4009001B" w:tentative="1">
      <w:start w:val="1"/>
      <w:numFmt w:val="lowerRoman"/>
      <w:lvlText w:val="%6."/>
      <w:lvlJc w:val="right"/>
      <w:pPr>
        <w:ind w:left="3963" w:hanging="180"/>
      </w:pPr>
    </w:lvl>
    <w:lvl w:ilvl="6" w:tplc="4009000F" w:tentative="1">
      <w:start w:val="1"/>
      <w:numFmt w:val="decimal"/>
      <w:lvlText w:val="%7."/>
      <w:lvlJc w:val="left"/>
      <w:pPr>
        <w:ind w:left="4683" w:hanging="360"/>
      </w:pPr>
    </w:lvl>
    <w:lvl w:ilvl="7" w:tplc="40090019" w:tentative="1">
      <w:start w:val="1"/>
      <w:numFmt w:val="lowerLetter"/>
      <w:lvlText w:val="%8."/>
      <w:lvlJc w:val="left"/>
      <w:pPr>
        <w:ind w:left="5403" w:hanging="360"/>
      </w:pPr>
    </w:lvl>
    <w:lvl w:ilvl="8" w:tplc="4009001B" w:tentative="1">
      <w:start w:val="1"/>
      <w:numFmt w:val="lowerRoman"/>
      <w:lvlText w:val="%9."/>
      <w:lvlJc w:val="right"/>
      <w:pPr>
        <w:ind w:left="6123" w:hanging="180"/>
      </w:pPr>
    </w:lvl>
  </w:abstractNum>
  <w:abstractNum w:abstractNumId="22">
    <w:nsid w:val="435A1004"/>
    <w:multiLevelType w:val="hybridMultilevel"/>
    <w:tmpl w:val="7FC07532"/>
    <w:lvl w:ilvl="0" w:tplc="4009000F">
      <w:start w:val="1"/>
      <w:numFmt w:val="decimal"/>
      <w:lvlText w:val="%1."/>
      <w:lvlJc w:val="left"/>
      <w:pPr>
        <w:ind w:left="135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56D2C22"/>
    <w:multiLevelType w:val="hybridMultilevel"/>
    <w:tmpl w:val="D4D4768C"/>
    <w:lvl w:ilvl="0" w:tplc="0409001B">
      <w:start w:val="1"/>
      <w:numFmt w:val="lowerRoman"/>
      <w:lvlText w:val="%1."/>
      <w:lvlJc w:val="right"/>
      <w:pPr>
        <w:ind w:left="1080" w:hanging="360"/>
      </w:pPr>
    </w:lvl>
    <w:lvl w:ilvl="1" w:tplc="4754B88E">
      <w:start w:val="1"/>
      <w:numFmt w:val="decimal"/>
      <w:lvlText w:val="%2."/>
      <w:lvlJc w:val="left"/>
      <w:pPr>
        <w:ind w:left="1800" w:hanging="360"/>
      </w:pPr>
      <w:rPr>
        <w:rFonts w:ascii="Calibri" w:eastAsia="Calibri" w:hAnsi="Calibri" w:cs="Calibri"/>
        <w:b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076C37"/>
    <w:multiLevelType w:val="hybridMultilevel"/>
    <w:tmpl w:val="70723A1A"/>
    <w:lvl w:ilvl="0" w:tplc="0CD8F49A">
      <w:numFmt w:val="bullet"/>
      <w:lvlText w:val=""/>
      <w:lvlJc w:val="left"/>
      <w:pPr>
        <w:ind w:left="720" w:hanging="360"/>
      </w:pPr>
      <w:rPr>
        <w:rFonts w:ascii="Wingdings" w:eastAsia="Times New Roman"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ABB"/>
    <w:multiLevelType w:val="hybridMultilevel"/>
    <w:tmpl w:val="734ED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F22ED0"/>
    <w:multiLevelType w:val="hybridMultilevel"/>
    <w:tmpl w:val="01965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BF50E9"/>
    <w:multiLevelType w:val="hybridMultilevel"/>
    <w:tmpl w:val="41A6E060"/>
    <w:lvl w:ilvl="0" w:tplc="66B0EF3A">
      <w:start w:val="1"/>
      <w:numFmt w:val="lowerLetter"/>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28">
    <w:nsid w:val="564D2112"/>
    <w:multiLevelType w:val="hybridMultilevel"/>
    <w:tmpl w:val="D2E6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3A4090"/>
    <w:multiLevelType w:val="hybridMultilevel"/>
    <w:tmpl w:val="2BDA9A80"/>
    <w:lvl w:ilvl="0" w:tplc="04090017">
      <w:start w:val="1"/>
      <w:numFmt w:val="lowerLetter"/>
      <w:lvlText w:val="%1)"/>
      <w:lvlJc w:val="left"/>
      <w:pPr>
        <w:ind w:left="360" w:hanging="360"/>
      </w:pPr>
      <w:rPr>
        <w:rFonts w:hint="default"/>
      </w:rPr>
    </w:lvl>
    <w:lvl w:ilvl="1" w:tplc="C4F43B86">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5AB17ED2"/>
    <w:multiLevelType w:val="hybridMultilevel"/>
    <w:tmpl w:val="41A6E060"/>
    <w:lvl w:ilvl="0" w:tplc="66B0EF3A">
      <w:start w:val="1"/>
      <w:numFmt w:val="lowerLetter"/>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31">
    <w:nsid w:val="68931158"/>
    <w:multiLevelType w:val="hybridMultilevel"/>
    <w:tmpl w:val="5E10FF28"/>
    <w:lvl w:ilvl="0" w:tplc="5A4EC48A">
      <w:start w:val="1"/>
      <w:numFmt w:val="lowerLetter"/>
      <w:lvlText w:val="%1."/>
      <w:lvlJc w:val="left"/>
      <w:pPr>
        <w:ind w:left="810" w:hanging="360"/>
      </w:pPr>
    </w:lvl>
    <w:lvl w:ilvl="1" w:tplc="40090019">
      <w:start w:val="1"/>
      <w:numFmt w:val="lowerLetter"/>
      <w:lvlText w:val="%2."/>
      <w:lvlJc w:val="left"/>
      <w:pPr>
        <w:ind w:left="1530" w:hanging="360"/>
      </w:pPr>
    </w:lvl>
    <w:lvl w:ilvl="2" w:tplc="4009001B">
      <w:start w:val="1"/>
      <w:numFmt w:val="lowerRoman"/>
      <w:lvlText w:val="%3."/>
      <w:lvlJc w:val="right"/>
      <w:pPr>
        <w:ind w:left="2250" w:hanging="180"/>
      </w:pPr>
    </w:lvl>
    <w:lvl w:ilvl="3" w:tplc="4009000F">
      <w:start w:val="1"/>
      <w:numFmt w:val="decimal"/>
      <w:lvlText w:val="%4."/>
      <w:lvlJc w:val="left"/>
      <w:pPr>
        <w:ind w:left="2970" w:hanging="360"/>
      </w:pPr>
    </w:lvl>
    <w:lvl w:ilvl="4" w:tplc="40090019">
      <w:start w:val="1"/>
      <w:numFmt w:val="lowerLetter"/>
      <w:lvlText w:val="%5."/>
      <w:lvlJc w:val="left"/>
      <w:pPr>
        <w:ind w:left="3690" w:hanging="360"/>
      </w:pPr>
    </w:lvl>
    <w:lvl w:ilvl="5" w:tplc="4009001B">
      <w:start w:val="1"/>
      <w:numFmt w:val="lowerRoman"/>
      <w:lvlText w:val="%6."/>
      <w:lvlJc w:val="right"/>
      <w:pPr>
        <w:ind w:left="4410" w:hanging="180"/>
      </w:pPr>
    </w:lvl>
    <w:lvl w:ilvl="6" w:tplc="4009000F">
      <w:start w:val="1"/>
      <w:numFmt w:val="decimal"/>
      <w:lvlText w:val="%7."/>
      <w:lvlJc w:val="left"/>
      <w:pPr>
        <w:ind w:left="5130" w:hanging="360"/>
      </w:pPr>
    </w:lvl>
    <w:lvl w:ilvl="7" w:tplc="40090019">
      <w:start w:val="1"/>
      <w:numFmt w:val="lowerLetter"/>
      <w:lvlText w:val="%8."/>
      <w:lvlJc w:val="left"/>
      <w:pPr>
        <w:ind w:left="5850" w:hanging="360"/>
      </w:pPr>
    </w:lvl>
    <w:lvl w:ilvl="8" w:tplc="4009001B">
      <w:start w:val="1"/>
      <w:numFmt w:val="lowerRoman"/>
      <w:lvlText w:val="%9."/>
      <w:lvlJc w:val="right"/>
      <w:pPr>
        <w:ind w:left="6570" w:hanging="180"/>
      </w:pPr>
    </w:lvl>
  </w:abstractNum>
  <w:abstractNum w:abstractNumId="32">
    <w:nsid w:val="6A016F5B"/>
    <w:multiLevelType w:val="hybridMultilevel"/>
    <w:tmpl w:val="41A6E060"/>
    <w:lvl w:ilvl="0" w:tplc="66B0EF3A">
      <w:start w:val="1"/>
      <w:numFmt w:val="lowerLetter"/>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33">
    <w:nsid w:val="6C873E9C"/>
    <w:multiLevelType w:val="hybridMultilevel"/>
    <w:tmpl w:val="89B2FE3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EA04C56"/>
    <w:multiLevelType w:val="hybridMultilevel"/>
    <w:tmpl w:val="F81E62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0F37AAC"/>
    <w:multiLevelType w:val="hybridMultilevel"/>
    <w:tmpl w:val="B8900EAA"/>
    <w:lvl w:ilvl="0" w:tplc="0409000F">
      <w:start w:val="1"/>
      <w:numFmt w:val="decimal"/>
      <w:lvlText w:val="%1."/>
      <w:lvlJc w:val="left"/>
      <w:pPr>
        <w:ind w:left="135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60A23A5"/>
    <w:multiLevelType w:val="hybridMultilevel"/>
    <w:tmpl w:val="476EB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E751A2"/>
    <w:multiLevelType w:val="hybridMultilevel"/>
    <w:tmpl w:val="35987F86"/>
    <w:lvl w:ilvl="0" w:tplc="B0D66D5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6"/>
  </w:num>
  <w:num w:numId="3">
    <w:abstractNumId w:val="5"/>
  </w:num>
  <w:num w:numId="4">
    <w:abstractNumId w:val="9"/>
  </w:num>
  <w:num w:numId="5">
    <w:abstractNumId w:val="13"/>
  </w:num>
  <w:num w:numId="6">
    <w:abstractNumId w:val="18"/>
  </w:num>
  <w:num w:numId="7">
    <w:abstractNumId w:val="2"/>
  </w:num>
  <w:num w:numId="8">
    <w:abstractNumId w:val="4"/>
  </w:num>
  <w:num w:numId="9">
    <w:abstractNumId w:val="25"/>
  </w:num>
  <w:num w:numId="10">
    <w:abstractNumId w:val="1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22"/>
  </w:num>
  <w:num w:numId="17">
    <w:abstractNumId w:val="29"/>
  </w:num>
  <w:num w:numId="18">
    <w:abstractNumId w:val="7"/>
  </w:num>
  <w:num w:numId="19">
    <w:abstractNumId w:val="35"/>
  </w:num>
  <w:num w:numId="20">
    <w:abstractNumId w:val="28"/>
  </w:num>
  <w:num w:numId="21">
    <w:abstractNumId w:val="36"/>
  </w:num>
  <w:num w:numId="22">
    <w:abstractNumId w:val="14"/>
  </w:num>
  <w:num w:numId="23">
    <w:abstractNumId w:val="37"/>
  </w:num>
  <w:num w:numId="24">
    <w:abstractNumId w:val="6"/>
  </w:num>
  <w:num w:numId="25">
    <w:abstractNumId w:val="24"/>
  </w:num>
  <w:num w:numId="26">
    <w:abstractNumId w:val="16"/>
  </w:num>
  <w:num w:numId="27">
    <w:abstractNumId w:val="0"/>
  </w:num>
  <w:num w:numId="28">
    <w:abstractNumId w:val="3"/>
  </w:num>
  <w:num w:numId="29">
    <w:abstractNumId w:val="11"/>
  </w:num>
  <w:num w:numId="30">
    <w:abstractNumId w:val="1"/>
  </w:num>
  <w:num w:numId="31">
    <w:abstractNumId w:val="8"/>
  </w:num>
  <w:num w:numId="32">
    <w:abstractNumId w:val="33"/>
  </w:num>
  <w:num w:numId="33">
    <w:abstractNumId w:val="17"/>
  </w:num>
  <w:num w:numId="34">
    <w:abstractNumId w:val="20"/>
  </w:num>
  <w:num w:numId="35">
    <w:abstractNumId w:val="15"/>
  </w:num>
  <w:num w:numId="36">
    <w:abstractNumId w:val="21"/>
  </w:num>
  <w:num w:numId="37">
    <w:abstractNumId w:val="30"/>
  </w:num>
  <w:num w:numId="38">
    <w:abstractNumId w:val="27"/>
  </w:num>
  <w:num w:numId="39">
    <w:abstractNumId w:val="32"/>
  </w:num>
  <w:numIdMacAtCleanup w:val="2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HMA POTHAN /MEMBERSHIP/NCDEX">
    <w15:presenceInfo w15:providerId="None" w15:userId="SUSHMA POTHAN /MEMBERSHIP/NCD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63"/>
    <w:rsid w:val="00000C25"/>
    <w:rsid w:val="00001F3A"/>
    <w:rsid w:val="00004FDB"/>
    <w:rsid w:val="00006AEB"/>
    <w:rsid w:val="00026386"/>
    <w:rsid w:val="000378B9"/>
    <w:rsid w:val="000524DC"/>
    <w:rsid w:val="00053B77"/>
    <w:rsid w:val="00053D91"/>
    <w:rsid w:val="00054247"/>
    <w:rsid w:val="00067A83"/>
    <w:rsid w:val="000724DC"/>
    <w:rsid w:val="000933A8"/>
    <w:rsid w:val="000A2181"/>
    <w:rsid w:val="000A2D61"/>
    <w:rsid w:val="000A5D3E"/>
    <w:rsid w:val="000B43F8"/>
    <w:rsid w:val="000C1616"/>
    <w:rsid w:val="000C2B60"/>
    <w:rsid w:val="000C2C97"/>
    <w:rsid w:val="000C5E37"/>
    <w:rsid w:val="000D32C7"/>
    <w:rsid w:val="000D5935"/>
    <w:rsid w:val="000E5053"/>
    <w:rsid w:val="000E7DEA"/>
    <w:rsid w:val="001022CF"/>
    <w:rsid w:val="001049FE"/>
    <w:rsid w:val="00104E1F"/>
    <w:rsid w:val="001229C9"/>
    <w:rsid w:val="00131BB5"/>
    <w:rsid w:val="0014391A"/>
    <w:rsid w:val="00147249"/>
    <w:rsid w:val="00147273"/>
    <w:rsid w:val="00147DF7"/>
    <w:rsid w:val="001538E3"/>
    <w:rsid w:val="0016268D"/>
    <w:rsid w:val="001741A9"/>
    <w:rsid w:val="0017696D"/>
    <w:rsid w:val="001919A5"/>
    <w:rsid w:val="001B6CF4"/>
    <w:rsid w:val="001C48F4"/>
    <w:rsid w:val="001D7664"/>
    <w:rsid w:val="001D7D98"/>
    <w:rsid w:val="001E0ED3"/>
    <w:rsid w:val="001E2D2C"/>
    <w:rsid w:val="001E5DA3"/>
    <w:rsid w:val="001F4374"/>
    <w:rsid w:val="00200AAD"/>
    <w:rsid w:val="002014BD"/>
    <w:rsid w:val="0020746F"/>
    <w:rsid w:val="00211C1A"/>
    <w:rsid w:val="00217129"/>
    <w:rsid w:val="00251DB5"/>
    <w:rsid w:val="00253EFE"/>
    <w:rsid w:val="002631BB"/>
    <w:rsid w:val="00272CFF"/>
    <w:rsid w:val="002742D1"/>
    <w:rsid w:val="00291047"/>
    <w:rsid w:val="00291A59"/>
    <w:rsid w:val="00293B2C"/>
    <w:rsid w:val="002A5FE6"/>
    <w:rsid w:val="002B3715"/>
    <w:rsid w:val="002B5B62"/>
    <w:rsid w:val="002F205A"/>
    <w:rsid w:val="002F35FD"/>
    <w:rsid w:val="0032334C"/>
    <w:rsid w:val="0033731A"/>
    <w:rsid w:val="003375E5"/>
    <w:rsid w:val="00340151"/>
    <w:rsid w:val="003466A6"/>
    <w:rsid w:val="00353640"/>
    <w:rsid w:val="00353B20"/>
    <w:rsid w:val="00353FBB"/>
    <w:rsid w:val="00367301"/>
    <w:rsid w:val="00372078"/>
    <w:rsid w:val="003819D9"/>
    <w:rsid w:val="00384747"/>
    <w:rsid w:val="00394623"/>
    <w:rsid w:val="00397800"/>
    <w:rsid w:val="003A5290"/>
    <w:rsid w:val="003B25A1"/>
    <w:rsid w:val="003D7EB4"/>
    <w:rsid w:val="003F27A8"/>
    <w:rsid w:val="003F3925"/>
    <w:rsid w:val="00406E5D"/>
    <w:rsid w:val="004111D1"/>
    <w:rsid w:val="004171C2"/>
    <w:rsid w:val="00417861"/>
    <w:rsid w:val="00424F26"/>
    <w:rsid w:val="004435B6"/>
    <w:rsid w:val="004475F0"/>
    <w:rsid w:val="00454085"/>
    <w:rsid w:val="00454B9F"/>
    <w:rsid w:val="00454F04"/>
    <w:rsid w:val="00457C5E"/>
    <w:rsid w:val="00460C2F"/>
    <w:rsid w:val="00470AF3"/>
    <w:rsid w:val="00471091"/>
    <w:rsid w:val="0047198A"/>
    <w:rsid w:val="00472439"/>
    <w:rsid w:val="00473E5B"/>
    <w:rsid w:val="00477AEA"/>
    <w:rsid w:val="004A0E53"/>
    <w:rsid w:val="004B3059"/>
    <w:rsid w:val="004B7CE7"/>
    <w:rsid w:val="004C3B74"/>
    <w:rsid w:val="004C4A4F"/>
    <w:rsid w:val="004E644A"/>
    <w:rsid w:val="004E75D8"/>
    <w:rsid w:val="004F244A"/>
    <w:rsid w:val="0050581A"/>
    <w:rsid w:val="00507481"/>
    <w:rsid w:val="00511638"/>
    <w:rsid w:val="0051489E"/>
    <w:rsid w:val="00520ECE"/>
    <w:rsid w:val="005358E6"/>
    <w:rsid w:val="00545C93"/>
    <w:rsid w:val="00553856"/>
    <w:rsid w:val="00555C46"/>
    <w:rsid w:val="005617A0"/>
    <w:rsid w:val="0056194B"/>
    <w:rsid w:val="00566F82"/>
    <w:rsid w:val="00580414"/>
    <w:rsid w:val="00585F66"/>
    <w:rsid w:val="005A3E4B"/>
    <w:rsid w:val="005B0A29"/>
    <w:rsid w:val="005B10BC"/>
    <w:rsid w:val="005D0F79"/>
    <w:rsid w:val="005D3455"/>
    <w:rsid w:val="005D56F5"/>
    <w:rsid w:val="005E5599"/>
    <w:rsid w:val="00604521"/>
    <w:rsid w:val="00604CF9"/>
    <w:rsid w:val="006051C1"/>
    <w:rsid w:val="00620635"/>
    <w:rsid w:val="006248AD"/>
    <w:rsid w:val="006277CC"/>
    <w:rsid w:val="006322E2"/>
    <w:rsid w:val="0063421B"/>
    <w:rsid w:val="006366EE"/>
    <w:rsid w:val="0065170B"/>
    <w:rsid w:val="00652C02"/>
    <w:rsid w:val="0065362A"/>
    <w:rsid w:val="006579DA"/>
    <w:rsid w:val="00661AAB"/>
    <w:rsid w:val="006716E9"/>
    <w:rsid w:val="006805D2"/>
    <w:rsid w:val="00681AFC"/>
    <w:rsid w:val="006857EA"/>
    <w:rsid w:val="006B7AD6"/>
    <w:rsid w:val="006F7B22"/>
    <w:rsid w:val="0070030E"/>
    <w:rsid w:val="00710609"/>
    <w:rsid w:val="007109A0"/>
    <w:rsid w:val="00712D8B"/>
    <w:rsid w:val="00724B1D"/>
    <w:rsid w:val="00724D2F"/>
    <w:rsid w:val="00727C72"/>
    <w:rsid w:val="00736D94"/>
    <w:rsid w:val="00740FBA"/>
    <w:rsid w:val="00744399"/>
    <w:rsid w:val="00752D93"/>
    <w:rsid w:val="00784EA8"/>
    <w:rsid w:val="007864AE"/>
    <w:rsid w:val="00797978"/>
    <w:rsid w:val="007C61D4"/>
    <w:rsid w:val="007D4461"/>
    <w:rsid w:val="007E2B56"/>
    <w:rsid w:val="007F6BEF"/>
    <w:rsid w:val="008103AB"/>
    <w:rsid w:val="00827B05"/>
    <w:rsid w:val="0083410B"/>
    <w:rsid w:val="0084052C"/>
    <w:rsid w:val="00841187"/>
    <w:rsid w:val="00852819"/>
    <w:rsid w:val="00861314"/>
    <w:rsid w:val="00862CE9"/>
    <w:rsid w:val="00866C63"/>
    <w:rsid w:val="00874990"/>
    <w:rsid w:val="00882101"/>
    <w:rsid w:val="00882641"/>
    <w:rsid w:val="008846C0"/>
    <w:rsid w:val="008904A8"/>
    <w:rsid w:val="00893151"/>
    <w:rsid w:val="00897392"/>
    <w:rsid w:val="008A028D"/>
    <w:rsid w:val="008B7708"/>
    <w:rsid w:val="008C3A2B"/>
    <w:rsid w:val="008C5783"/>
    <w:rsid w:val="008D0BAD"/>
    <w:rsid w:val="008D1042"/>
    <w:rsid w:val="008E0D56"/>
    <w:rsid w:val="008E4821"/>
    <w:rsid w:val="008E4C82"/>
    <w:rsid w:val="008E5EA6"/>
    <w:rsid w:val="008F1924"/>
    <w:rsid w:val="00903D8C"/>
    <w:rsid w:val="00930F04"/>
    <w:rsid w:val="00931A71"/>
    <w:rsid w:val="00931EDA"/>
    <w:rsid w:val="00935F73"/>
    <w:rsid w:val="0094481A"/>
    <w:rsid w:val="009760F3"/>
    <w:rsid w:val="0098213A"/>
    <w:rsid w:val="009842D9"/>
    <w:rsid w:val="00984706"/>
    <w:rsid w:val="0098476A"/>
    <w:rsid w:val="009878AB"/>
    <w:rsid w:val="0099324A"/>
    <w:rsid w:val="009A00E8"/>
    <w:rsid w:val="009B7748"/>
    <w:rsid w:val="009C18F7"/>
    <w:rsid w:val="009D32A5"/>
    <w:rsid w:val="009D4593"/>
    <w:rsid w:val="009D7A3B"/>
    <w:rsid w:val="00A207CD"/>
    <w:rsid w:val="00A23EFB"/>
    <w:rsid w:val="00A24154"/>
    <w:rsid w:val="00A35D84"/>
    <w:rsid w:val="00A3647D"/>
    <w:rsid w:val="00A37D81"/>
    <w:rsid w:val="00A45EE7"/>
    <w:rsid w:val="00A50415"/>
    <w:rsid w:val="00A55969"/>
    <w:rsid w:val="00A572B5"/>
    <w:rsid w:val="00A67C77"/>
    <w:rsid w:val="00A80B50"/>
    <w:rsid w:val="00A83A28"/>
    <w:rsid w:val="00A842DE"/>
    <w:rsid w:val="00AA2F3E"/>
    <w:rsid w:val="00AB07DA"/>
    <w:rsid w:val="00AB18C6"/>
    <w:rsid w:val="00AB4CA2"/>
    <w:rsid w:val="00AC24AB"/>
    <w:rsid w:val="00AC382A"/>
    <w:rsid w:val="00AC4B38"/>
    <w:rsid w:val="00AD1964"/>
    <w:rsid w:val="00AD20BD"/>
    <w:rsid w:val="00AD293A"/>
    <w:rsid w:val="00AE4474"/>
    <w:rsid w:val="00AF5621"/>
    <w:rsid w:val="00B01496"/>
    <w:rsid w:val="00B12A83"/>
    <w:rsid w:val="00B135CF"/>
    <w:rsid w:val="00B20BBC"/>
    <w:rsid w:val="00B23B40"/>
    <w:rsid w:val="00B24BF2"/>
    <w:rsid w:val="00B40192"/>
    <w:rsid w:val="00B44DAE"/>
    <w:rsid w:val="00B46F40"/>
    <w:rsid w:val="00B47C55"/>
    <w:rsid w:val="00B55726"/>
    <w:rsid w:val="00B667A0"/>
    <w:rsid w:val="00B75BE0"/>
    <w:rsid w:val="00B80356"/>
    <w:rsid w:val="00B80DFB"/>
    <w:rsid w:val="00B81F65"/>
    <w:rsid w:val="00B82F7A"/>
    <w:rsid w:val="00B8464B"/>
    <w:rsid w:val="00B856B3"/>
    <w:rsid w:val="00B90BD8"/>
    <w:rsid w:val="00B967B5"/>
    <w:rsid w:val="00BA3543"/>
    <w:rsid w:val="00BB47CE"/>
    <w:rsid w:val="00BB5D3C"/>
    <w:rsid w:val="00BB63AE"/>
    <w:rsid w:val="00BC036B"/>
    <w:rsid w:val="00BC1513"/>
    <w:rsid w:val="00BD37A9"/>
    <w:rsid w:val="00BE5742"/>
    <w:rsid w:val="00BE7826"/>
    <w:rsid w:val="00BF1CAC"/>
    <w:rsid w:val="00BF1D87"/>
    <w:rsid w:val="00C02CDA"/>
    <w:rsid w:val="00C03B53"/>
    <w:rsid w:val="00C03C3D"/>
    <w:rsid w:val="00C26D76"/>
    <w:rsid w:val="00C32FC6"/>
    <w:rsid w:val="00C41485"/>
    <w:rsid w:val="00C41C88"/>
    <w:rsid w:val="00C42BFE"/>
    <w:rsid w:val="00C463DC"/>
    <w:rsid w:val="00C515CA"/>
    <w:rsid w:val="00C658AC"/>
    <w:rsid w:val="00C66141"/>
    <w:rsid w:val="00C74388"/>
    <w:rsid w:val="00C75C5E"/>
    <w:rsid w:val="00C818F6"/>
    <w:rsid w:val="00C913AC"/>
    <w:rsid w:val="00C91F16"/>
    <w:rsid w:val="00C93732"/>
    <w:rsid w:val="00CA073A"/>
    <w:rsid w:val="00CB127A"/>
    <w:rsid w:val="00CB2A7E"/>
    <w:rsid w:val="00CB4F68"/>
    <w:rsid w:val="00CC02FE"/>
    <w:rsid w:val="00CC1764"/>
    <w:rsid w:val="00CE328E"/>
    <w:rsid w:val="00CE49BE"/>
    <w:rsid w:val="00CF3601"/>
    <w:rsid w:val="00D03A16"/>
    <w:rsid w:val="00D25E48"/>
    <w:rsid w:val="00D33D32"/>
    <w:rsid w:val="00D354D5"/>
    <w:rsid w:val="00D44371"/>
    <w:rsid w:val="00D52D9C"/>
    <w:rsid w:val="00D53505"/>
    <w:rsid w:val="00D60E46"/>
    <w:rsid w:val="00D62098"/>
    <w:rsid w:val="00D76A68"/>
    <w:rsid w:val="00D81084"/>
    <w:rsid w:val="00D8396F"/>
    <w:rsid w:val="00D83C2D"/>
    <w:rsid w:val="00D8703B"/>
    <w:rsid w:val="00DB2A91"/>
    <w:rsid w:val="00DD19A8"/>
    <w:rsid w:val="00DD2265"/>
    <w:rsid w:val="00DD7AAF"/>
    <w:rsid w:val="00DE0572"/>
    <w:rsid w:val="00DE388A"/>
    <w:rsid w:val="00E00624"/>
    <w:rsid w:val="00E02A89"/>
    <w:rsid w:val="00E05AE0"/>
    <w:rsid w:val="00E13361"/>
    <w:rsid w:val="00E15247"/>
    <w:rsid w:val="00E30675"/>
    <w:rsid w:val="00E30CE8"/>
    <w:rsid w:val="00E33EC2"/>
    <w:rsid w:val="00E41E27"/>
    <w:rsid w:val="00E47519"/>
    <w:rsid w:val="00E534F5"/>
    <w:rsid w:val="00E61A41"/>
    <w:rsid w:val="00E658D4"/>
    <w:rsid w:val="00E94E5C"/>
    <w:rsid w:val="00EA46B3"/>
    <w:rsid w:val="00EA7F41"/>
    <w:rsid w:val="00EB1948"/>
    <w:rsid w:val="00EB56CE"/>
    <w:rsid w:val="00EC4988"/>
    <w:rsid w:val="00ED1EF6"/>
    <w:rsid w:val="00ED4524"/>
    <w:rsid w:val="00ED4F52"/>
    <w:rsid w:val="00EE37FE"/>
    <w:rsid w:val="00EE6EA5"/>
    <w:rsid w:val="00F00EE7"/>
    <w:rsid w:val="00F33C3A"/>
    <w:rsid w:val="00F37B70"/>
    <w:rsid w:val="00F400C8"/>
    <w:rsid w:val="00F46D9C"/>
    <w:rsid w:val="00F47B42"/>
    <w:rsid w:val="00F51C04"/>
    <w:rsid w:val="00F5737F"/>
    <w:rsid w:val="00F6106A"/>
    <w:rsid w:val="00F61EFD"/>
    <w:rsid w:val="00F74189"/>
    <w:rsid w:val="00F75D49"/>
    <w:rsid w:val="00F92A88"/>
    <w:rsid w:val="00F95489"/>
    <w:rsid w:val="00FA3FAA"/>
    <w:rsid w:val="00FB5A77"/>
    <w:rsid w:val="00FC39EE"/>
    <w:rsid w:val="00FC3DE0"/>
    <w:rsid w:val="00FC7235"/>
    <w:rsid w:val="00FC7666"/>
    <w:rsid w:val="00FE3B09"/>
    <w:rsid w:val="00FE4656"/>
    <w:rsid w:val="00FE690D"/>
    <w:rsid w:val="00FE799B"/>
    <w:rsid w:val="00FF4AED"/>
    <w:rsid w:val="00FF4E9A"/>
    <w:rsid w:val="00FF6F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98"/>
  </w:style>
  <w:style w:type="paragraph" w:styleId="Heading1">
    <w:name w:val="heading 1"/>
    <w:basedOn w:val="Normal"/>
    <w:link w:val="Heading1Char"/>
    <w:uiPriority w:val="1"/>
    <w:qFormat/>
    <w:rsid w:val="004E644A"/>
    <w:pPr>
      <w:widowControl w:val="0"/>
      <w:spacing w:before="56" w:after="0" w:line="240" w:lineRule="auto"/>
      <w:ind w:left="100"/>
      <w:outlineLvl w:val="0"/>
    </w:pPr>
    <w:rPr>
      <w:rFonts w:ascii="Calibri" w:eastAsia="Times New Roman" w:hAnsi="Calibri" w:cs="Times New Roman"/>
      <w:b/>
      <w:bCs/>
      <w:lang w:val="en-US"/>
    </w:rPr>
  </w:style>
  <w:style w:type="paragraph" w:styleId="Heading5">
    <w:name w:val="heading 5"/>
    <w:basedOn w:val="Normal"/>
    <w:next w:val="Normal"/>
    <w:link w:val="Heading5Char"/>
    <w:uiPriority w:val="9"/>
    <w:semiHidden/>
    <w:unhideWhenUsed/>
    <w:qFormat/>
    <w:rsid w:val="0055385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4A"/>
    <w:rPr>
      <w:rFonts w:ascii="Tahoma" w:hAnsi="Tahoma" w:cs="Tahoma"/>
      <w:sz w:val="16"/>
      <w:szCs w:val="16"/>
    </w:rPr>
  </w:style>
  <w:style w:type="paragraph" w:customStyle="1" w:styleId="Default">
    <w:name w:val="Default"/>
    <w:rsid w:val="00353B2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Numbered,Colorful List - Accent 11,lp1,List Paragraph1,Recommendation,List Paragraph11,L,CV text,Table text,F5 List Paragraph,Dot pt,Bullet 1,Numbered Para 1,No Spacing1,List Paragraph Char Char Char,Indicator Text,Resume Title,heading 4"/>
    <w:basedOn w:val="Normal"/>
    <w:link w:val="ListParagraphChar"/>
    <w:uiPriority w:val="34"/>
    <w:qFormat/>
    <w:rsid w:val="00353B20"/>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aliases w:val="Numbered Char,Colorful List - Accent 11 Char,lp1 Char,List Paragraph1 Char,Recommendation Char,List Paragraph11 Char,L Char,CV text Char,Table text Char,F5 List Paragraph Char,Dot pt Char,Bullet 1 Char,Numbered Para 1 Char"/>
    <w:link w:val="ListParagraph"/>
    <w:uiPriority w:val="34"/>
    <w:locked/>
    <w:rsid w:val="00353B20"/>
    <w:rPr>
      <w:rFonts w:ascii="Times New Roman" w:eastAsia="Times New Roman" w:hAnsi="Times New Roman" w:cs="Times New Roman"/>
      <w:sz w:val="24"/>
      <w:szCs w:val="24"/>
      <w:lang w:val="en-US"/>
    </w:rPr>
  </w:style>
  <w:style w:type="paragraph" w:customStyle="1" w:styleId="Char">
    <w:name w:val="Char"/>
    <w:basedOn w:val="Normal"/>
    <w:rsid w:val="00067A83"/>
    <w:pPr>
      <w:spacing w:after="160" w:line="240" w:lineRule="exact"/>
    </w:pPr>
    <w:rPr>
      <w:rFonts w:ascii="Verdana" w:eastAsia="Times New Roman" w:hAnsi="Verdana" w:cs="Times New Roman"/>
      <w:sz w:val="20"/>
      <w:szCs w:val="20"/>
      <w:lang w:val="en-US"/>
    </w:rPr>
  </w:style>
  <w:style w:type="table" w:styleId="TableGrid">
    <w:name w:val="Table Grid"/>
    <w:basedOn w:val="TableNormal"/>
    <w:uiPriority w:val="39"/>
    <w:rsid w:val="00FC72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712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A5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290"/>
  </w:style>
  <w:style w:type="paragraph" w:styleId="Footer">
    <w:name w:val="footer"/>
    <w:basedOn w:val="Normal"/>
    <w:link w:val="FooterChar"/>
    <w:uiPriority w:val="99"/>
    <w:unhideWhenUsed/>
    <w:rsid w:val="003A5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290"/>
  </w:style>
  <w:style w:type="character" w:customStyle="1" w:styleId="Heading1Char">
    <w:name w:val="Heading 1 Char"/>
    <w:basedOn w:val="DefaultParagraphFont"/>
    <w:link w:val="Heading1"/>
    <w:uiPriority w:val="1"/>
    <w:rsid w:val="004E644A"/>
    <w:rPr>
      <w:rFonts w:ascii="Calibri" w:eastAsia="Times New Roman" w:hAnsi="Calibri" w:cs="Times New Roman"/>
      <w:b/>
      <w:bCs/>
      <w:lang w:val="en-US"/>
    </w:rPr>
  </w:style>
  <w:style w:type="character" w:styleId="Hyperlink">
    <w:name w:val="Hyperlink"/>
    <w:uiPriority w:val="99"/>
    <w:unhideWhenUsed/>
    <w:rsid w:val="004E644A"/>
    <w:rPr>
      <w:rFonts w:ascii="Times New Roman" w:hAnsi="Times New Roman" w:cs="Times New Roman" w:hint="default"/>
      <w:color w:val="0000FF"/>
      <w:u w:val="single"/>
    </w:rPr>
  </w:style>
  <w:style w:type="paragraph" w:styleId="BodyText">
    <w:name w:val="Body Text"/>
    <w:basedOn w:val="Normal"/>
    <w:link w:val="BodyTextChar"/>
    <w:uiPriority w:val="1"/>
    <w:qFormat/>
    <w:rsid w:val="000524DC"/>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524D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40FBA"/>
    <w:rPr>
      <w:sz w:val="16"/>
      <w:szCs w:val="16"/>
    </w:rPr>
  </w:style>
  <w:style w:type="paragraph" w:styleId="CommentText">
    <w:name w:val="annotation text"/>
    <w:basedOn w:val="Normal"/>
    <w:link w:val="CommentTextChar"/>
    <w:uiPriority w:val="99"/>
    <w:semiHidden/>
    <w:unhideWhenUsed/>
    <w:rsid w:val="00740FBA"/>
    <w:pPr>
      <w:spacing w:line="240" w:lineRule="auto"/>
    </w:pPr>
    <w:rPr>
      <w:sz w:val="20"/>
      <w:szCs w:val="20"/>
    </w:rPr>
  </w:style>
  <w:style w:type="character" w:customStyle="1" w:styleId="CommentTextChar">
    <w:name w:val="Comment Text Char"/>
    <w:basedOn w:val="DefaultParagraphFont"/>
    <w:link w:val="CommentText"/>
    <w:uiPriority w:val="99"/>
    <w:semiHidden/>
    <w:rsid w:val="00740FBA"/>
    <w:rPr>
      <w:sz w:val="20"/>
      <w:szCs w:val="20"/>
    </w:rPr>
  </w:style>
  <w:style w:type="paragraph" w:styleId="CommentSubject">
    <w:name w:val="annotation subject"/>
    <w:basedOn w:val="CommentText"/>
    <w:next w:val="CommentText"/>
    <w:link w:val="CommentSubjectChar"/>
    <w:uiPriority w:val="99"/>
    <w:semiHidden/>
    <w:unhideWhenUsed/>
    <w:rsid w:val="00740FBA"/>
    <w:rPr>
      <w:b/>
      <w:bCs/>
    </w:rPr>
  </w:style>
  <w:style w:type="character" w:customStyle="1" w:styleId="CommentSubjectChar">
    <w:name w:val="Comment Subject Char"/>
    <w:basedOn w:val="CommentTextChar"/>
    <w:link w:val="CommentSubject"/>
    <w:uiPriority w:val="99"/>
    <w:semiHidden/>
    <w:rsid w:val="00740FBA"/>
    <w:rPr>
      <w:b/>
      <w:bCs/>
      <w:sz w:val="20"/>
      <w:szCs w:val="20"/>
    </w:rPr>
  </w:style>
  <w:style w:type="paragraph" w:styleId="Revision">
    <w:name w:val="Revision"/>
    <w:hidden/>
    <w:uiPriority w:val="99"/>
    <w:semiHidden/>
    <w:rsid w:val="00AC24AB"/>
    <w:pPr>
      <w:spacing w:after="0" w:line="240" w:lineRule="auto"/>
    </w:pPr>
  </w:style>
  <w:style w:type="paragraph" w:customStyle="1" w:styleId="gmail-default">
    <w:name w:val="gmail-default"/>
    <w:basedOn w:val="Normal"/>
    <w:uiPriority w:val="99"/>
    <w:rsid w:val="00D62098"/>
    <w:pPr>
      <w:spacing w:before="100" w:beforeAutospacing="1" w:after="100" w:afterAutospacing="1" w:line="240" w:lineRule="auto"/>
    </w:pPr>
    <w:rPr>
      <w:rFonts w:ascii="Times New Roman" w:hAnsi="Times New Roman" w:cs="Times New Roman"/>
      <w:sz w:val="24"/>
      <w:szCs w:val="24"/>
      <w:lang w:val="en-US"/>
    </w:rPr>
  </w:style>
  <w:style w:type="paragraph" w:customStyle="1" w:styleId="CM13">
    <w:name w:val="CM13"/>
    <w:basedOn w:val="Normal"/>
    <w:next w:val="Normal"/>
    <w:rsid w:val="00CA073A"/>
    <w:pPr>
      <w:widowControl w:val="0"/>
      <w:autoSpaceDE w:val="0"/>
      <w:autoSpaceDN w:val="0"/>
      <w:adjustRightInd w:val="0"/>
      <w:spacing w:after="233" w:line="240" w:lineRule="auto"/>
    </w:pPr>
    <w:rPr>
      <w:rFonts w:ascii="BEOKO J+ Century Old" w:eastAsia="Times New Roman" w:hAnsi="BEOKO J+ Century Old" w:cs="Times New Roman"/>
      <w:sz w:val="20"/>
      <w:szCs w:val="24"/>
      <w:lang w:val="en-US"/>
    </w:rPr>
  </w:style>
  <w:style w:type="character" w:customStyle="1" w:styleId="Heading5Char">
    <w:name w:val="Heading 5 Char"/>
    <w:basedOn w:val="DefaultParagraphFont"/>
    <w:link w:val="Heading5"/>
    <w:uiPriority w:val="9"/>
    <w:semiHidden/>
    <w:rsid w:val="00553856"/>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147DF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98"/>
  </w:style>
  <w:style w:type="paragraph" w:styleId="Heading1">
    <w:name w:val="heading 1"/>
    <w:basedOn w:val="Normal"/>
    <w:link w:val="Heading1Char"/>
    <w:uiPriority w:val="1"/>
    <w:qFormat/>
    <w:rsid w:val="004E644A"/>
    <w:pPr>
      <w:widowControl w:val="0"/>
      <w:spacing w:before="56" w:after="0" w:line="240" w:lineRule="auto"/>
      <w:ind w:left="100"/>
      <w:outlineLvl w:val="0"/>
    </w:pPr>
    <w:rPr>
      <w:rFonts w:ascii="Calibri" w:eastAsia="Times New Roman" w:hAnsi="Calibri" w:cs="Times New Roman"/>
      <w:b/>
      <w:bCs/>
      <w:lang w:val="en-US"/>
    </w:rPr>
  </w:style>
  <w:style w:type="paragraph" w:styleId="Heading5">
    <w:name w:val="heading 5"/>
    <w:basedOn w:val="Normal"/>
    <w:next w:val="Normal"/>
    <w:link w:val="Heading5Char"/>
    <w:uiPriority w:val="9"/>
    <w:semiHidden/>
    <w:unhideWhenUsed/>
    <w:qFormat/>
    <w:rsid w:val="0055385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24A"/>
    <w:rPr>
      <w:rFonts w:ascii="Tahoma" w:hAnsi="Tahoma" w:cs="Tahoma"/>
      <w:sz w:val="16"/>
      <w:szCs w:val="16"/>
    </w:rPr>
  </w:style>
  <w:style w:type="paragraph" w:customStyle="1" w:styleId="Default">
    <w:name w:val="Default"/>
    <w:rsid w:val="00353B2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Numbered,Colorful List - Accent 11,lp1,List Paragraph1,Recommendation,List Paragraph11,L,CV text,Table text,F5 List Paragraph,Dot pt,Bullet 1,Numbered Para 1,No Spacing1,List Paragraph Char Char Char,Indicator Text,Resume Title,heading 4"/>
    <w:basedOn w:val="Normal"/>
    <w:link w:val="ListParagraphChar"/>
    <w:uiPriority w:val="34"/>
    <w:qFormat/>
    <w:rsid w:val="00353B20"/>
    <w:pPr>
      <w:spacing w:after="0" w:line="240" w:lineRule="auto"/>
      <w:ind w:left="720"/>
    </w:pPr>
    <w:rPr>
      <w:rFonts w:ascii="Times New Roman" w:eastAsia="Times New Roman" w:hAnsi="Times New Roman" w:cs="Times New Roman"/>
      <w:sz w:val="24"/>
      <w:szCs w:val="24"/>
      <w:lang w:val="en-US"/>
    </w:rPr>
  </w:style>
  <w:style w:type="character" w:customStyle="1" w:styleId="ListParagraphChar">
    <w:name w:val="List Paragraph Char"/>
    <w:aliases w:val="Numbered Char,Colorful List - Accent 11 Char,lp1 Char,List Paragraph1 Char,Recommendation Char,List Paragraph11 Char,L Char,CV text Char,Table text Char,F5 List Paragraph Char,Dot pt Char,Bullet 1 Char,Numbered Para 1 Char"/>
    <w:link w:val="ListParagraph"/>
    <w:uiPriority w:val="34"/>
    <w:locked/>
    <w:rsid w:val="00353B20"/>
    <w:rPr>
      <w:rFonts w:ascii="Times New Roman" w:eastAsia="Times New Roman" w:hAnsi="Times New Roman" w:cs="Times New Roman"/>
      <w:sz w:val="24"/>
      <w:szCs w:val="24"/>
      <w:lang w:val="en-US"/>
    </w:rPr>
  </w:style>
  <w:style w:type="paragraph" w:customStyle="1" w:styleId="Char">
    <w:name w:val="Char"/>
    <w:basedOn w:val="Normal"/>
    <w:rsid w:val="00067A83"/>
    <w:pPr>
      <w:spacing w:after="160" w:line="240" w:lineRule="exact"/>
    </w:pPr>
    <w:rPr>
      <w:rFonts w:ascii="Verdana" w:eastAsia="Times New Roman" w:hAnsi="Verdana" w:cs="Times New Roman"/>
      <w:sz w:val="20"/>
      <w:szCs w:val="20"/>
      <w:lang w:val="en-US"/>
    </w:rPr>
  </w:style>
  <w:style w:type="table" w:styleId="TableGrid">
    <w:name w:val="Table Grid"/>
    <w:basedOn w:val="TableNormal"/>
    <w:uiPriority w:val="39"/>
    <w:rsid w:val="00FC72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712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A5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290"/>
  </w:style>
  <w:style w:type="paragraph" w:styleId="Footer">
    <w:name w:val="footer"/>
    <w:basedOn w:val="Normal"/>
    <w:link w:val="FooterChar"/>
    <w:uiPriority w:val="99"/>
    <w:unhideWhenUsed/>
    <w:rsid w:val="003A5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290"/>
  </w:style>
  <w:style w:type="character" w:customStyle="1" w:styleId="Heading1Char">
    <w:name w:val="Heading 1 Char"/>
    <w:basedOn w:val="DefaultParagraphFont"/>
    <w:link w:val="Heading1"/>
    <w:uiPriority w:val="1"/>
    <w:rsid w:val="004E644A"/>
    <w:rPr>
      <w:rFonts w:ascii="Calibri" w:eastAsia="Times New Roman" w:hAnsi="Calibri" w:cs="Times New Roman"/>
      <w:b/>
      <w:bCs/>
      <w:lang w:val="en-US"/>
    </w:rPr>
  </w:style>
  <w:style w:type="character" w:styleId="Hyperlink">
    <w:name w:val="Hyperlink"/>
    <w:uiPriority w:val="99"/>
    <w:unhideWhenUsed/>
    <w:rsid w:val="004E644A"/>
    <w:rPr>
      <w:rFonts w:ascii="Times New Roman" w:hAnsi="Times New Roman" w:cs="Times New Roman" w:hint="default"/>
      <w:color w:val="0000FF"/>
      <w:u w:val="single"/>
    </w:rPr>
  </w:style>
  <w:style w:type="paragraph" w:styleId="BodyText">
    <w:name w:val="Body Text"/>
    <w:basedOn w:val="Normal"/>
    <w:link w:val="BodyTextChar"/>
    <w:uiPriority w:val="1"/>
    <w:qFormat/>
    <w:rsid w:val="000524DC"/>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524D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40FBA"/>
    <w:rPr>
      <w:sz w:val="16"/>
      <w:szCs w:val="16"/>
    </w:rPr>
  </w:style>
  <w:style w:type="paragraph" w:styleId="CommentText">
    <w:name w:val="annotation text"/>
    <w:basedOn w:val="Normal"/>
    <w:link w:val="CommentTextChar"/>
    <w:uiPriority w:val="99"/>
    <w:semiHidden/>
    <w:unhideWhenUsed/>
    <w:rsid w:val="00740FBA"/>
    <w:pPr>
      <w:spacing w:line="240" w:lineRule="auto"/>
    </w:pPr>
    <w:rPr>
      <w:sz w:val="20"/>
      <w:szCs w:val="20"/>
    </w:rPr>
  </w:style>
  <w:style w:type="character" w:customStyle="1" w:styleId="CommentTextChar">
    <w:name w:val="Comment Text Char"/>
    <w:basedOn w:val="DefaultParagraphFont"/>
    <w:link w:val="CommentText"/>
    <w:uiPriority w:val="99"/>
    <w:semiHidden/>
    <w:rsid w:val="00740FBA"/>
    <w:rPr>
      <w:sz w:val="20"/>
      <w:szCs w:val="20"/>
    </w:rPr>
  </w:style>
  <w:style w:type="paragraph" w:styleId="CommentSubject">
    <w:name w:val="annotation subject"/>
    <w:basedOn w:val="CommentText"/>
    <w:next w:val="CommentText"/>
    <w:link w:val="CommentSubjectChar"/>
    <w:uiPriority w:val="99"/>
    <w:semiHidden/>
    <w:unhideWhenUsed/>
    <w:rsid w:val="00740FBA"/>
    <w:rPr>
      <w:b/>
      <w:bCs/>
    </w:rPr>
  </w:style>
  <w:style w:type="character" w:customStyle="1" w:styleId="CommentSubjectChar">
    <w:name w:val="Comment Subject Char"/>
    <w:basedOn w:val="CommentTextChar"/>
    <w:link w:val="CommentSubject"/>
    <w:uiPriority w:val="99"/>
    <w:semiHidden/>
    <w:rsid w:val="00740FBA"/>
    <w:rPr>
      <w:b/>
      <w:bCs/>
      <w:sz w:val="20"/>
      <w:szCs w:val="20"/>
    </w:rPr>
  </w:style>
  <w:style w:type="paragraph" w:styleId="Revision">
    <w:name w:val="Revision"/>
    <w:hidden/>
    <w:uiPriority w:val="99"/>
    <w:semiHidden/>
    <w:rsid w:val="00AC24AB"/>
    <w:pPr>
      <w:spacing w:after="0" w:line="240" w:lineRule="auto"/>
    </w:pPr>
  </w:style>
  <w:style w:type="paragraph" w:customStyle="1" w:styleId="gmail-default">
    <w:name w:val="gmail-default"/>
    <w:basedOn w:val="Normal"/>
    <w:uiPriority w:val="99"/>
    <w:rsid w:val="00D62098"/>
    <w:pPr>
      <w:spacing w:before="100" w:beforeAutospacing="1" w:after="100" w:afterAutospacing="1" w:line="240" w:lineRule="auto"/>
    </w:pPr>
    <w:rPr>
      <w:rFonts w:ascii="Times New Roman" w:hAnsi="Times New Roman" w:cs="Times New Roman"/>
      <w:sz w:val="24"/>
      <w:szCs w:val="24"/>
      <w:lang w:val="en-US"/>
    </w:rPr>
  </w:style>
  <w:style w:type="paragraph" w:customStyle="1" w:styleId="CM13">
    <w:name w:val="CM13"/>
    <w:basedOn w:val="Normal"/>
    <w:next w:val="Normal"/>
    <w:rsid w:val="00CA073A"/>
    <w:pPr>
      <w:widowControl w:val="0"/>
      <w:autoSpaceDE w:val="0"/>
      <w:autoSpaceDN w:val="0"/>
      <w:adjustRightInd w:val="0"/>
      <w:spacing w:after="233" w:line="240" w:lineRule="auto"/>
    </w:pPr>
    <w:rPr>
      <w:rFonts w:ascii="BEOKO J+ Century Old" w:eastAsia="Times New Roman" w:hAnsi="BEOKO J+ Century Old" w:cs="Times New Roman"/>
      <w:sz w:val="20"/>
      <w:szCs w:val="24"/>
      <w:lang w:val="en-US"/>
    </w:rPr>
  </w:style>
  <w:style w:type="character" w:customStyle="1" w:styleId="Heading5Char">
    <w:name w:val="Heading 5 Char"/>
    <w:basedOn w:val="DefaultParagraphFont"/>
    <w:link w:val="Heading5"/>
    <w:uiPriority w:val="9"/>
    <w:semiHidden/>
    <w:rsid w:val="00553856"/>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147DF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1246">
      <w:bodyDiv w:val="1"/>
      <w:marLeft w:val="0"/>
      <w:marRight w:val="0"/>
      <w:marTop w:val="0"/>
      <w:marBottom w:val="0"/>
      <w:divBdr>
        <w:top w:val="none" w:sz="0" w:space="0" w:color="auto"/>
        <w:left w:val="none" w:sz="0" w:space="0" w:color="auto"/>
        <w:bottom w:val="none" w:sz="0" w:space="0" w:color="auto"/>
        <w:right w:val="none" w:sz="0" w:space="0" w:color="auto"/>
      </w:divBdr>
    </w:div>
    <w:div w:id="280695377">
      <w:bodyDiv w:val="1"/>
      <w:marLeft w:val="0"/>
      <w:marRight w:val="0"/>
      <w:marTop w:val="0"/>
      <w:marBottom w:val="0"/>
      <w:divBdr>
        <w:top w:val="none" w:sz="0" w:space="0" w:color="auto"/>
        <w:left w:val="none" w:sz="0" w:space="0" w:color="auto"/>
        <w:bottom w:val="none" w:sz="0" w:space="0" w:color="auto"/>
        <w:right w:val="none" w:sz="0" w:space="0" w:color="auto"/>
      </w:divBdr>
    </w:div>
    <w:div w:id="62404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3822-5FEF-45E2-8CC7-178A0DB1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mcx</dc:creator>
  <cp:keywords/>
  <dc:description/>
  <cp:lastModifiedBy>Atul More</cp:lastModifiedBy>
  <cp:revision>24</cp:revision>
  <cp:lastPrinted>2020-12-17T11:03:00Z</cp:lastPrinted>
  <dcterms:created xsi:type="dcterms:W3CDTF">2021-08-06T13:37:00Z</dcterms:created>
  <dcterms:modified xsi:type="dcterms:W3CDTF">2021-08-09T12:29:00Z</dcterms:modified>
</cp:coreProperties>
</file>